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BED" w:rsidRPr="00101BED" w:rsidRDefault="00101BED" w:rsidP="00721242">
      <w:pPr>
        <w:spacing w:line="360" w:lineRule="auto"/>
        <w:jc w:val="both"/>
        <w:rPr>
          <w:rFonts w:ascii="Palatino Linotype" w:hAnsi="Palatino Linotype"/>
          <w:b/>
          <w:sz w:val="24"/>
          <w:szCs w:val="24"/>
        </w:rPr>
      </w:pPr>
      <w:bookmarkStart w:id="0" w:name="_GoBack"/>
      <w:bookmarkEnd w:id="0"/>
      <w:r w:rsidRPr="00101BED">
        <w:rPr>
          <w:rFonts w:ascii="Palatino Linotype" w:hAnsi="Palatino Linotype"/>
          <w:b/>
          <w:sz w:val="24"/>
          <w:szCs w:val="24"/>
        </w:rPr>
        <w:t xml:space="preserve">VOTO PARTICULAR DEL COMISIONADO JOSÉ GUADALUPE LUNA HERNÁNDEZ EN EL RECURSO DE </w:t>
      </w:r>
      <w:r w:rsidR="006E4312">
        <w:rPr>
          <w:rFonts w:ascii="Palatino Linotype" w:hAnsi="Palatino Linotype"/>
          <w:b/>
          <w:sz w:val="24"/>
          <w:szCs w:val="24"/>
        </w:rPr>
        <w:t>REVISIÓN 00172</w:t>
      </w:r>
      <w:r>
        <w:rPr>
          <w:rFonts w:ascii="Palatino Linotype" w:hAnsi="Palatino Linotype"/>
          <w:b/>
          <w:sz w:val="24"/>
          <w:szCs w:val="24"/>
        </w:rPr>
        <w:t>/</w:t>
      </w:r>
      <w:r w:rsidR="00731E75">
        <w:rPr>
          <w:rFonts w:ascii="Palatino Linotype" w:hAnsi="Palatino Linotype"/>
          <w:b/>
          <w:sz w:val="24"/>
          <w:szCs w:val="24"/>
        </w:rPr>
        <w:t>INFOEM/IP/RR/2019</w:t>
      </w:r>
    </w:p>
    <w:p w:rsidR="00731E75" w:rsidRDefault="00731E75" w:rsidP="00721242">
      <w:pPr>
        <w:spacing w:line="360" w:lineRule="auto"/>
        <w:jc w:val="both"/>
        <w:rPr>
          <w:rFonts w:ascii="Palatino Linotype" w:hAnsi="Palatino Linotype"/>
          <w:b/>
          <w:sz w:val="24"/>
          <w:szCs w:val="24"/>
        </w:rPr>
      </w:pPr>
    </w:p>
    <w:p w:rsidR="00101BED" w:rsidRDefault="00BF3157" w:rsidP="00721242">
      <w:pPr>
        <w:spacing w:line="360" w:lineRule="auto"/>
        <w:jc w:val="both"/>
        <w:rPr>
          <w:rFonts w:ascii="Palatino Linotype" w:hAnsi="Palatino Linotype"/>
          <w:sz w:val="24"/>
          <w:szCs w:val="24"/>
        </w:rPr>
      </w:pPr>
      <w:r>
        <w:rPr>
          <w:rFonts w:ascii="Palatino Linotype" w:hAnsi="Palatino Linotype"/>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59453</wp:posOffset>
                </wp:positionH>
                <wp:positionV relativeFrom="paragraph">
                  <wp:posOffset>3087578</wp:posOffset>
                </wp:positionV>
                <wp:extent cx="5493224" cy="3214047"/>
                <wp:effectExtent l="19050" t="19050" r="31750" b="24765"/>
                <wp:wrapNone/>
                <wp:docPr id="5" name="Conector recto 5"/>
                <wp:cNvGraphicFramePr/>
                <a:graphic xmlns:a="http://schemas.openxmlformats.org/drawingml/2006/main">
                  <a:graphicData uri="http://schemas.microsoft.com/office/word/2010/wordprocessingShape">
                    <wps:wsp>
                      <wps:cNvCnPr/>
                      <wps:spPr>
                        <a:xfrm>
                          <a:off x="0" y="0"/>
                          <a:ext cx="5493224" cy="321404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C3B9C3"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pt,243.1pt" to="437.25pt,4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" strokecolor="#5b9bd5 [3204]" strokeweight="3pt">
                <v:stroke joinstyle="miter"/>
              </v:line>
            </w:pict>
          </mc:Fallback>
        </mc:AlternateContent>
      </w:r>
      <w:r w:rsidR="00101BED" w:rsidRPr="00101BED">
        <w:rPr>
          <w:rFonts w:ascii="Palatino Linotype" w:hAnsi="Palatino Linotype"/>
          <w:b/>
          <w:sz w:val="24"/>
          <w:szCs w:val="24"/>
        </w:rPr>
        <w:t>Resumen del voto.</w:t>
      </w:r>
      <w:r w:rsidR="00101BED" w:rsidRPr="00101BED">
        <w:rPr>
          <w:rFonts w:ascii="Palatino Linotype" w:hAnsi="Palatino Linotype"/>
          <w:sz w:val="24"/>
          <w:szCs w:val="24"/>
        </w:rPr>
        <w:t xml:space="preserve"> </w:t>
      </w:r>
      <w:r>
        <w:rPr>
          <w:rFonts w:ascii="Palatino Linotype" w:hAnsi="Palatino Linotype"/>
          <w:sz w:val="24"/>
          <w:szCs w:val="24"/>
        </w:rPr>
        <w:t xml:space="preserve"> No se comparte el sentido de la resolución toda vez que deriva de la atribuciones con la que cuenta el Sujeto Obligado se debió ordenar el</w:t>
      </w:r>
      <w:r w:rsidR="00101BED" w:rsidRPr="00101BED">
        <w:rPr>
          <w:rFonts w:ascii="Palatino Linotype" w:hAnsi="Palatino Linotype"/>
          <w:sz w:val="24"/>
          <w:szCs w:val="24"/>
        </w:rPr>
        <w:t xml:space="preserve"> acuerdo de inexistencia es el documento donde se plasman las razones o motivos por los cuales la información que debería de existir, no se encuentra dentro de los archivos del Sujeto Obligado, en otras palabras, es la alta responsabilidad de explicarle a la ciudadanía que la información que solicitó no se generó por negligencia, robo, extravío o cualquier otra circunstancia, en consecuencia, se debe dar vista a los órganos de control interno para que de ser el caso se inicie el procedimiento de responsabilidad correspondiente a la o las personas que resulten responsables por la inexistencia de la información.</w:t>
      </w:r>
    </w:p>
    <w:p w:rsidR="00BF3157" w:rsidRDefault="00BF3157" w:rsidP="00721242">
      <w:pPr>
        <w:spacing w:line="360" w:lineRule="auto"/>
        <w:jc w:val="both"/>
        <w:rPr>
          <w:rFonts w:ascii="Palatino Linotype" w:hAnsi="Palatino Linotype"/>
          <w:sz w:val="24"/>
          <w:szCs w:val="24"/>
        </w:rPr>
      </w:pPr>
    </w:p>
    <w:p w:rsidR="00BF3157" w:rsidRPr="00101BED" w:rsidRDefault="00BF3157" w:rsidP="00721242">
      <w:pPr>
        <w:spacing w:line="360" w:lineRule="auto"/>
        <w:jc w:val="both"/>
        <w:rPr>
          <w:rFonts w:ascii="Palatino Linotype" w:hAnsi="Palatino Linotype"/>
          <w:sz w:val="24"/>
          <w:szCs w:val="24"/>
        </w:rPr>
      </w:pPr>
    </w:p>
    <w:p w:rsidR="00101BED" w:rsidRPr="00101BED" w:rsidRDefault="00101BED" w:rsidP="00721242">
      <w:pPr>
        <w:tabs>
          <w:tab w:val="center" w:pos="4419"/>
        </w:tabs>
        <w:spacing w:line="360" w:lineRule="auto"/>
        <w:jc w:val="both"/>
        <w:rPr>
          <w:rFonts w:ascii="Palatino Linotype" w:hAnsi="Palatino Linotype"/>
          <w:sz w:val="24"/>
          <w:szCs w:val="24"/>
        </w:rPr>
      </w:pPr>
      <w:r>
        <w:rPr>
          <w:rFonts w:ascii="Palatino Linotype" w:hAnsi="Palatino Linotype"/>
          <w:sz w:val="24"/>
          <w:szCs w:val="24"/>
        </w:rPr>
        <w:tab/>
      </w:r>
    </w:p>
    <w:p w:rsidR="00101BED" w:rsidRPr="00101BED" w:rsidRDefault="00101BED" w:rsidP="00721242">
      <w:pPr>
        <w:spacing w:line="360" w:lineRule="auto"/>
        <w:jc w:val="both"/>
        <w:rPr>
          <w:rFonts w:ascii="Palatino Linotype" w:hAnsi="Palatino Linotype"/>
          <w:sz w:val="24"/>
          <w:szCs w:val="24"/>
        </w:rPr>
      </w:pPr>
    </w:p>
    <w:p w:rsidR="00101BED" w:rsidRPr="00101BED" w:rsidRDefault="00101BED" w:rsidP="00721242">
      <w:pPr>
        <w:spacing w:line="360" w:lineRule="auto"/>
        <w:jc w:val="both"/>
        <w:rPr>
          <w:rFonts w:ascii="Palatino Linotype" w:hAnsi="Palatino Linotype"/>
          <w:sz w:val="24"/>
          <w:szCs w:val="24"/>
        </w:rPr>
      </w:pPr>
    </w:p>
    <w:p w:rsidR="00101BED" w:rsidRPr="00101BED" w:rsidRDefault="00101BED" w:rsidP="00721242">
      <w:pPr>
        <w:spacing w:line="360" w:lineRule="auto"/>
        <w:jc w:val="both"/>
        <w:rPr>
          <w:rFonts w:ascii="Palatino Linotype" w:hAnsi="Palatino Linotype"/>
          <w:sz w:val="24"/>
          <w:szCs w:val="24"/>
        </w:rPr>
      </w:pPr>
    </w:p>
    <w:p w:rsidR="00101BED" w:rsidRPr="00101BED" w:rsidRDefault="00101BED" w:rsidP="00721242">
      <w:pPr>
        <w:keepNext/>
        <w:keepLines/>
        <w:spacing w:before="240" w:after="0" w:line="360" w:lineRule="auto"/>
        <w:rPr>
          <w:rFonts w:ascii="Palatino Linotype" w:eastAsiaTheme="majorEastAsia" w:hAnsi="Palatino Linotype" w:cs="Arial"/>
          <w:b/>
          <w:sz w:val="24"/>
          <w:szCs w:val="24"/>
          <w:lang w:eastAsia="es-MX"/>
        </w:rPr>
      </w:pPr>
      <w:r w:rsidRPr="00101BED">
        <w:rPr>
          <w:rFonts w:ascii="Palatino Linotype" w:eastAsiaTheme="majorEastAsia" w:hAnsi="Palatino Linotype" w:cs="Arial"/>
          <w:b/>
          <w:sz w:val="24"/>
          <w:szCs w:val="24"/>
          <w:lang w:eastAsia="es-MX"/>
        </w:rPr>
        <w:lastRenderedPageBreak/>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101BED" w:rsidRPr="00101BED" w:rsidRDefault="00101BED" w:rsidP="00721242">
          <w:pPr>
            <w:tabs>
              <w:tab w:val="left" w:pos="660"/>
              <w:tab w:val="right" w:leader="dot" w:pos="8828"/>
            </w:tabs>
            <w:spacing w:after="100" w:line="360" w:lineRule="auto"/>
            <w:rPr>
              <w:rFonts w:eastAsiaTheme="minorEastAsia"/>
              <w:noProof/>
              <w:lang w:eastAsia="es-MX"/>
            </w:rPr>
          </w:pPr>
          <w:r w:rsidRPr="00101BED">
            <w:rPr>
              <w:rFonts w:ascii="Palatino Linotype" w:hAnsi="Palatino Linotype"/>
              <w:sz w:val="24"/>
              <w:szCs w:val="24"/>
            </w:rPr>
            <w:fldChar w:fldCharType="begin"/>
          </w:r>
          <w:r w:rsidRPr="00101BED">
            <w:rPr>
              <w:rFonts w:ascii="Palatino Linotype" w:hAnsi="Palatino Linotype"/>
              <w:sz w:val="24"/>
              <w:szCs w:val="24"/>
            </w:rPr>
            <w:instrText xml:space="preserve"> TOC \o "1-3" \h \z \u </w:instrText>
          </w:r>
          <w:r w:rsidRPr="00101BED">
            <w:rPr>
              <w:rFonts w:ascii="Palatino Linotype" w:hAnsi="Palatino Linotype"/>
              <w:sz w:val="24"/>
              <w:szCs w:val="24"/>
            </w:rPr>
            <w:fldChar w:fldCharType="separate"/>
          </w:r>
          <w:hyperlink w:anchor="_Toc269539" w:history="1">
            <w:r w:rsidRPr="00101BED">
              <w:rPr>
                <w:rFonts w:ascii="Palatino Linotype" w:hAnsi="Palatino Linotype"/>
                <w:b/>
                <w:noProof/>
                <w:color w:val="0563C1" w:themeColor="hyperlink"/>
                <w:u w:val="single"/>
              </w:rPr>
              <w:t>I.</w:t>
            </w:r>
            <w:r w:rsidRPr="00101BED">
              <w:rPr>
                <w:rFonts w:eastAsiaTheme="minorEastAsia"/>
                <w:noProof/>
                <w:lang w:eastAsia="es-MX"/>
              </w:rPr>
              <w:tab/>
            </w:r>
            <w:r w:rsidRPr="00101BED">
              <w:rPr>
                <w:rFonts w:ascii="Palatino Linotype" w:hAnsi="Palatino Linotype"/>
                <w:b/>
                <w:noProof/>
                <w:color w:val="0563C1" w:themeColor="hyperlink"/>
                <w:u w:val="single"/>
              </w:rPr>
              <w:t>Consideraciones Generales</w:t>
            </w:r>
            <w:r w:rsidRPr="00101BED">
              <w:rPr>
                <w:noProof/>
                <w:webHidden/>
              </w:rPr>
              <w:tab/>
            </w:r>
            <w:r w:rsidRPr="00101BED">
              <w:rPr>
                <w:noProof/>
                <w:webHidden/>
              </w:rPr>
              <w:fldChar w:fldCharType="begin"/>
            </w:r>
            <w:r w:rsidRPr="00101BED">
              <w:rPr>
                <w:noProof/>
                <w:webHidden/>
              </w:rPr>
              <w:instrText xml:space="preserve"> PAGEREF _Toc269539 \h </w:instrText>
            </w:r>
            <w:r w:rsidRPr="00101BED">
              <w:rPr>
                <w:noProof/>
                <w:webHidden/>
              </w:rPr>
            </w:r>
            <w:r w:rsidRPr="00101BED">
              <w:rPr>
                <w:noProof/>
                <w:webHidden/>
              </w:rPr>
              <w:fldChar w:fldCharType="separate"/>
            </w:r>
            <w:r w:rsidRPr="00101BED">
              <w:rPr>
                <w:noProof/>
                <w:webHidden/>
              </w:rPr>
              <w:t>2</w:t>
            </w:r>
            <w:r w:rsidRPr="00101BED">
              <w:rPr>
                <w:noProof/>
                <w:webHidden/>
              </w:rPr>
              <w:fldChar w:fldCharType="end"/>
            </w:r>
          </w:hyperlink>
        </w:p>
        <w:p w:rsidR="00101BED" w:rsidRPr="00101BED" w:rsidRDefault="00767CB6" w:rsidP="00721242">
          <w:pPr>
            <w:tabs>
              <w:tab w:val="left" w:pos="660"/>
              <w:tab w:val="right" w:leader="dot" w:pos="8828"/>
            </w:tabs>
            <w:spacing w:after="100" w:line="360" w:lineRule="auto"/>
            <w:rPr>
              <w:rFonts w:eastAsiaTheme="minorEastAsia"/>
              <w:noProof/>
              <w:lang w:eastAsia="es-MX"/>
            </w:rPr>
          </w:pPr>
          <w:hyperlink w:anchor="_Toc269540" w:history="1">
            <w:r w:rsidR="00101BED" w:rsidRPr="00101BED">
              <w:rPr>
                <w:rFonts w:ascii="Palatino Linotype" w:hAnsi="Palatino Linotype"/>
                <w:b/>
                <w:noProof/>
                <w:color w:val="0563C1" w:themeColor="hyperlink"/>
                <w:u w:val="single"/>
              </w:rPr>
              <w:t>II.</w:t>
            </w:r>
            <w:r w:rsidR="00101BED" w:rsidRPr="00101BED">
              <w:rPr>
                <w:rFonts w:eastAsiaTheme="minorEastAsia"/>
                <w:noProof/>
                <w:lang w:eastAsia="es-MX"/>
              </w:rPr>
              <w:tab/>
            </w:r>
            <w:r w:rsidR="00101BED" w:rsidRPr="00101BED">
              <w:rPr>
                <w:rFonts w:ascii="Palatino Linotype" w:hAnsi="Palatino Linotype"/>
                <w:b/>
                <w:noProof/>
                <w:color w:val="0563C1" w:themeColor="hyperlink"/>
                <w:u w:val="single"/>
              </w:rPr>
              <w:t>De los requerimientos planteados.</w:t>
            </w:r>
            <w:r w:rsidR="00101BED" w:rsidRPr="00101BED">
              <w:rPr>
                <w:noProof/>
                <w:webHidden/>
              </w:rPr>
              <w:tab/>
            </w:r>
            <w:r w:rsidR="00101BED" w:rsidRPr="00101BED">
              <w:rPr>
                <w:noProof/>
                <w:webHidden/>
              </w:rPr>
              <w:fldChar w:fldCharType="begin"/>
            </w:r>
            <w:r w:rsidR="00101BED" w:rsidRPr="00101BED">
              <w:rPr>
                <w:noProof/>
                <w:webHidden/>
              </w:rPr>
              <w:instrText xml:space="preserve"> PAGEREF _Toc269540 \h </w:instrText>
            </w:r>
            <w:r w:rsidR="00101BED" w:rsidRPr="00101BED">
              <w:rPr>
                <w:noProof/>
                <w:webHidden/>
              </w:rPr>
            </w:r>
            <w:r w:rsidR="00101BED" w:rsidRPr="00101BED">
              <w:rPr>
                <w:noProof/>
                <w:webHidden/>
              </w:rPr>
              <w:fldChar w:fldCharType="separate"/>
            </w:r>
            <w:r w:rsidR="00101BED" w:rsidRPr="00101BED">
              <w:rPr>
                <w:noProof/>
                <w:webHidden/>
              </w:rPr>
              <w:t>3</w:t>
            </w:r>
            <w:r w:rsidR="00101BED" w:rsidRPr="00101BED">
              <w:rPr>
                <w:noProof/>
                <w:webHidden/>
              </w:rPr>
              <w:fldChar w:fldCharType="end"/>
            </w:r>
          </w:hyperlink>
        </w:p>
        <w:p w:rsidR="00101BED" w:rsidRPr="00101BED" w:rsidRDefault="00767CB6" w:rsidP="00721242">
          <w:pPr>
            <w:tabs>
              <w:tab w:val="left" w:pos="660"/>
              <w:tab w:val="right" w:leader="dot" w:pos="8828"/>
            </w:tabs>
            <w:spacing w:after="100" w:line="360" w:lineRule="auto"/>
            <w:rPr>
              <w:rFonts w:eastAsiaTheme="minorEastAsia"/>
              <w:noProof/>
              <w:lang w:eastAsia="es-MX"/>
            </w:rPr>
          </w:pPr>
          <w:hyperlink w:anchor="_Toc269541" w:history="1">
            <w:r w:rsidR="00101BED" w:rsidRPr="00101BED">
              <w:rPr>
                <w:rFonts w:ascii="Palatino Linotype" w:hAnsi="Palatino Linotype"/>
                <w:b/>
                <w:noProof/>
                <w:color w:val="0563C1" w:themeColor="hyperlink"/>
                <w:u w:val="single"/>
              </w:rPr>
              <w:t>III.</w:t>
            </w:r>
            <w:r w:rsidR="00101BED" w:rsidRPr="00101BED">
              <w:rPr>
                <w:rFonts w:eastAsiaTheme="minorEastAsia"/>
                <w:noProof/>
                <w:lang w:eastAsia="es-MX"/>
              </w:rPr>
              <w:tab/>
            </w:r>
            <w:r w:rsidR="00101BED" w:rsidRPr="00101BED">
              <w:rPr>
                <w:rFonts w:ascii="Palatino Linotype" w:hAnsi="Palatino Linotype"/>
                <w:b/>
                <w:noProof/>
                <w:color w:val="0563C1" w:themeColor="hyperlink"/>
                <w:u w:val="single"/>
              </w:rPr>
              <w:t>De la Inexistencia de la información.</w:t>
            </w:r>
            <w:r w:rsidR="00101BED" w:rsidRPr="00101BED">
              <w:rPr>
                <w:noProof/>
                <w:webHidden/>
              </w:rPr>
              <w:tab/>
            </w:r>
            <w:r w:rsidR="00101BED" w:rsidRPr="00101BED">
              <w:rPr>
                <w:noProof/>
                <w:webHidden/>
              </w:rPr>
              <w:fldChar w:fldCharType="begin"/>
            </w:r>
            <w:r w:rsidR="00101BED" w:rsidRPr="00101BED">
              <w:rPr>
                <w:noProof/>
                <w:webHidden/>
              </w:rPr>
              <w:instrText xml:space="preserve"> PAGEREF _Toc269541 \h </w:instrText>
            </w:r>
            <w:r w:rsidR="00101BED" w:rsidRPr="00101BED">
              <w:rPr>
                <w:noProof/>
                <w:webHidden/>
              </w:rPr>
            </w:r>
            <w:r w:rsidR="00101BED" w:rsidRPr="00101BED">
              <w:rPr>
                <w:noProof/>
                <w:webHidden/>
              </w:rPr>
              <w:fldChar w:fldCharType="separate"/>
            </w:r>
            <w:r w:rsidR="00101BED" w:rsidRPr="00101BED">
              <w:rPr>
                <w:noProof/>
                <w:webHidden/>
              </w:rPr>
              <w:t>5</w:t>
            </w:r>
            <w:r w:rsidR="00101BED" w:rsidRPr="00101BED">
              <w:rPr>
                <w:noProof/>
                <w:webHidden/>
              </w:rPr>
              <w:fldChar w:fldCharType="end"/>
            </w:r>
          </w:hyperlink>
        </w:p>
        <w:p w:rsidR="00101BED" w:rsidRPr="00101BED" w:rsidRDefault="00767CB6" w:rsidP="00721242">
          <w:pPr>
            <w:tabs>
              <w:tab w:val="left" w:pos="660"/>
              <w:tab w:val="right" w:leader="dot" w:pos="8828"/>
            </w:tabs>
            <w:spacing w:after="100" w:line="360" w:lineRule="auto"/>
            <w:rPr>
              <w:rFonts w:eastAsiaTheme="minorEastAsia"/>
              <w:noProof/>
              <w:lang w:eastAsia="es-MX"/>
            </w:rPr>
          </w:pPr>
          <w:hyperlink w:anchor="_Toc269542" w:history="1">
            <w:r w:rsidR="00101BED" w:rsidRPr="00101BED">
              <w:rPr>
                <w:rFonts w:ascii="Palatino Linotype" w:hAnsi="Palatino Linotype"/>
                <w:b/>
                <w:noProof/>
                <w:color w:val="0563C1" w:themeColor="hyperlink"/>
                <w:u w:val="single"/>
              </w:rPr>
              <w:t>IV.</w:t>
            </w:r>
            <w:r w:rsidR="00101BED" w:rsidRPr="00101BED">
              <w:rPr>
                <w:rFonts w:eastAsiaTheme="minorEastAsia"/>
                <w:noProof/>
                <w:lang w:eastAsia="es-MX"/>
              </w:rPr>
              <w:tab/>
            </w:r>
            <w:r w:rsidR="00101BED" w:rsidRPr="00101BED">
              <w:rPr>
                <w:rFonts w:ascii="Palatino Linotype" w:hAnsi="Palatino Linotype"/>
                <w:b/>
                <w:noProof/>
                <w:color w:val="0563C1" w:themeColor="hyperlink"/>
                <w:u w:val="single"/>
              </w:rPr>
              <w:t>Conclusión</w:t>
            </w:r>
            <w:r w:rsidR="00101BED" w:rsidRPr="00101BED">
              <w:rPr>
                <w:noProof/>
                <w:webHidden/>
              </w:rPr>
              <w:tab/>
            </w:r>
            <w:r w:rsidR="00101BED" w:rsidRPr="00101BED">
              <w:rPr>
                <w:noProof/>
                <w:webHidden/>
              </w:rPr>
              <w:fldChar w:fldCharType="begin"/>
            </w:r>
            <w:r w:rsidR="00101BED" w:rsidRPr="00101BED">
              <w:rPr>
                <w:noProof/>
                <w:webHidden/>
              </w:rPr>
              <w:instrText xml:space="preserve"> PAGEREF _Toc269542 \h </w:instrText>
            </w:r>
            <w:r w:rsidR="00101BED" w:rsidRPr="00101BED">
              <w:rPr>
                <w:noProof/>
                <w:webHidden/>
              </w:rPr>
            </w:r>
            <w:r w:rsidR="00101BED" w:rsidRPr="00101BED">
              <w:rPr>
                <w:noProof/>
                <w:webHidden/>
              </w:rPr>
              <w:fldChar w:fldCharType="separate"/>
            </w:r>
            <w:r w:rsidR="00101BED" w:rsidRPr="00101BED">
              <w:rPr>
                <w:noProof/>
                <w:webHidden/>
              </w:rPr>
              <w:t>14</w:t>
            </w:r>
            <w:r w:rsidR="00101BED" w:rsidRPr="00101BED">
              <w:rPr>
                <w:noProof/>
                <w:webHidden/>
              </w:rPr>
              <w:fldChar w:fldCharType="end"/>
            </w:r>
          </w:hyperlink>
        </w:p>
        <w:p w:rsidR="00101BED" w:rsidRPr="00101BED" w:rsidRDefault="00101BED" w:rsidP="00721242">
          <w:pPr>
            <w:spacing w:line="360" w:lineRule="auto"/>
            <w:rPr>
              <w:rFonts w:ascii="Palatino Linotype" w:hAnsi="Palatino Linotype"/>
              <w:sz w:val="24"/>
              <w:szCs w:val="24"/>
            </w:rPr>
          </w:pPr>
          <w:r w:rsidRPr="00101BED">
            <w:rPr>
              <w:rFonts w:ascii="Palatino Linotype" w:hAnsi="Palatino Linotype"/>
              <w:b/>
              <w:bCs/>
              <w:sz w:val="24"/>
              <w:szCs w:val="24"/>
              <w:lang w:val="es-ES"/>
            </w:rPr>
            <w:fldChar w:fldCharType="end"/>
          </w:r>
        </w:p>
      </w:sdtContent>
    </w:sdt>
    <w:p w:rsidR="00BF3157" w:rsidRDefault="00BF3157" w:rsidP="00731E75">
      <w:pPr>
        <w:tabs>
          <w:tab w:val="left" w:pos="5391"/>
          <w:tab w:val="left" w:pos="5875"/>
        </w:tabs>
      </w:pPr>
    </w:p>
    <w:p w:rsidR="00101BED" w:rsidRPr="00101BED" w:rsidRDefault="00101BED" w:rsidP="00731E75">
      <w:pPr>
        <w:tabs>
          <w:tab w:val="left" w:pos="5391"/>
          <w:tab w:val="left" w:pos="5875"/>
        </w:tabs>
      </w:pPr>
      <w:r>
        <w:tab/>
      </w:r>
      <w:r w:rsidR="00731E75">
        <w:tab/>
      </w:r>
    </w:p>
    <w:p w:rsidR="00101BED" w:rsidRPr="00101BED" w:rsidRDefault="00101BED" w:rsidP="00721242">
      <w:pPr>
        <w:keepNext/>
        <w:keepLines/>
        <w:numPr>
          <w:ilvl w:val="0"/>
          <w:numId w:val="2"/>
        </w:numPr>
        <w:spacing w:before="240" w:after="0"/>
        <w:ind w:left="0" w:firstLine="0"/>
        <w:outlineLvl w:val="0"/>
        <w:rPr>
          <w:rFonts w:ascii="Palatino Linotype" w:eastAsiaTheme="majorEastAsia" w:hAnsi="Palatino Linotype" w:cstheme="majorBidi"/>
          <w:b/>
          <w:sz w:val="24"/>
          <w:szCs w:val="32"/>
        </w:rPr>
      </w:pPr>
      <w:bookmarkStart w:id="1" w:name="_Toc269539"/>
      <w:r w:rsidRPr="00101BED">
        <w:rPr>
          <w:rFonts w:ascii="Palatino Linotype" w:eastAsiaTheme="majorEastAsia" w:hAnsi="Palatino Linotype" w:cstheme="majorBidi"/>
          <w:b/>
          <w:sz w:val="24"/>
          <w:szCs w:val="32"/>
        </w:rPr>
        <w:t>Consideraciones Generales</w:t>
      </w:r>
      <w:bookmarkEnd w:id="1"/>
    </w:p>
    <w:p w:rsidR="00101BED" w:rsidRPr="00101BED" w:rsidRDefault="00101BED" w:rsidP="00721242">
      <w:pPr>
        <w:spacing w:line="360" w:lineRule="auto"/>
        <w:contextualSpacing/>
        <w:jc w:val="both"/>
        <w:rPr>
          <w:rFonts w:ascii="Palatino Linotype" w:hAnsi="Palatino Linotype"/>
          <w:sz w:val="24"/>
          <w:szCs w:val="24"/>
        </w:rPr>
      </w:pPr>
    </w:p>
    <w:p w:rsidR="00101BED" w:rsidRPr="006E4312" w:rsidRDefault="00101BED" w:rsidP="00721242">
      <w:pPr>
        <w:numPr>
          <w:ilvl w:val="0"/>
          <w:numId w:val="1"/>
        </w:numPr>
        <w:spacing w:line="360" w:lineRule="auto"/>
        <w:ind w:left="0" w:firstLine="0"/>
        <w:contextualSpacing/>
        <w:jc w:val="both"/>
        <w:rPr>
          <w:rFonts w:ascii="Palatino Linotype" w:hAnsi="Palatino Linotype"/>
          <w:sz w:val="24"/>
          <w:szCs w:val="24"/>
        </w:rPr>
      </w:pPr>
      <w:r w:rsidRPr="00101BED">
        <w:rPr>
          <w:rFonts w:ascii="Palatino Linotype" w:hAnsi="Palatino Linotype"/>
          <w:sz w:val="24"/>
          <w:szCs w:val="24"/>
        </w:rPr>
        <w:t xml:space="preserve">He concurrido con mi voto particular de la presente resolución emitida por el Pleno del Instituto de Transparencia, Acceso a la Información Pública y Protección de Datos Personales del Estado de México y Municipios, en su </w:t>
      </w:r>
      <w:r w:rsidR="00731E75" w:rsidRPr="006E4312">
        <w:rPr>
          <w:rFonts w:ascii="Palatino Linotype" w:hAnsi="Palatino Linotype"/>
          <w:sz w:val="24"/>
          <w:szCs w:val="24"/>
        </w:rPr>
        <w:t>Séptima Sesión</w:t>
      </w:r>
      <w:r w:rsidRPr="00101BED">
        <w:rPr>
          <w:rFonts w:ascii="Palatino Linotype" w:hAnsi="Palatino Linotype"/>
          <w:sz w:val="24"/>
          <w:szCs w:val="24"/>
        </w:rPr>
        <w:t xml:space="preserve"> Ordinaria celebrada en fecha </w:t>
      </w:r>
      <w:r w:rsidR="00731E75" w:rsidRPr="006E4312">
        <w:rPr>
          <w:rFonts w:ascii="Palatino Linotype" w:hAnsi="Palatino Linotype"/>
          <w:sz w:val="24"/>
          <w:szCs w:val="24"/>
        </w:rPr>
        <w:t>veinte</w:t>
      </w:r>
      <w:r w:rsidRPr="00101BED">
        <w:rPr>
          <w:rFonts w:ascii="Palatino Linotype" w:hAnsi="Palatino Linotype"/>
          <w:sz w:val="24"/>
          <w:szCs w:val="24"/>
        </w:rPr>
        <w:t xml:space="preserve"> (</w:t>
      </w:r>
      <w:r w:rsidR="00731E75" w:rsidRPr="006E4312">
        <w:rPr>
          <w:rFonts w:ascii="Palatino Linotype" w:hAnsi="Palatino Linotype"/>
          <w:sz w:val="24"/>
          <w:szCs w:val="24"/>
        </w:rPr>
        <w:t>2</w:t>
      </w:r>
      <w:r w:rsidRPr="00101BED">
        <w:rPr>
          <w:rFonts w:ascii="Palatino Linotype" w:hAnsi="Palatino Linotype"/>
          <w:sz w:val="24"/>
          <w:szCs w:val="24"/>
        </w:rPr>
        <w:t xml:space="preserve">0) de </w:t>
      </w:r>
      <w:r w:rsidR="00731E75" w:rsidRPr="006E4312">
        <w:rPr>
          <w:rFonts w:ascii="Palatino Linotype" w:hAnsi="Palatino Linotype"/>
          <w:sz w:val="24"/>
          <w:szCs w:val="24"/>
        </w:rPr>
        <w:t>febrero</w:t>
      </w:r>
      <w:r w:rsidRPr="00101BED">
        <w:rPr>
          <w:rFonts w:ascii="Palatino Linotype" w:hAnsi="Palatino Linotype"/>
          <w:sz w:val="24"/>
          <w:szCs w:val="24"/>
        </w:rPr>
        <w:t xml:space="preserve"> de dos mil diecinueve promovido en contra de la respuesta de</w:t>
      </w:r>
      <w:r w:rsidR="006E4312">
        <w:rPr>
          <w:rFonts w:ascii="Palatino Linotype" w:hAnsi="Palatino Linotype"/>
          <w:sz w:val="24"/>
          <w:szCs w:val="24"/>
        </w:rPr>
        <w:t xml:space="preserve"> la</w:t>
      </w:r>
      <w:r w:rsidRPr="00101BED">
        <w:rPr>
          <w:rFonts w:ascii="Palatino Linotype" w:hAnsi="Palatino Linotype"/>
          <w:sz w:val="24"/>
          <w:szCs w:val="24"/>
        </w:rPr>
        <w:t xml:space="preserve"> </w:t>
      </w:r>
      <w:r w:rsidR="006E4312" w:rsidRPr="006E4312">
        <w:rPr>
          <w:rFonts w:ascii="Palatino Linotype" w:eastAsia="Times New Roman" w:hAnsi="Palatino Linotype" w:cs="Times New Roman"/>
          <w:b/>
          <w:sz w:val="24"/>
          <w:szCs w:val="24"/>
          <w:lang w:eastAsia="es-ES"/>
        </w:rPr>
        <w:t>Universidad Politécnica del Valle de Toluca</w:t>
      </w:r>
      <w:r w:rsidR="006E4312">
        <w:rPr>
          <w:rFonts w:ascii="Palatino Linotype" w:eastAsia="Times New Roman" w:hAnsi="Palatino Linotype" w:cs="Times New Roman"/>
          <w:b/>
          <w:sz w:val="24"/>
          <w:szCs w:val="24"/>
          <w:lang w:eastAsia="es-ES"/>
        </w:rPr>
        <w:t xml:space="preserve"> </w:t>
      </w:r>
      <w:r w:rsidRPr="00101BED">
        <w:rPr>
          <w:rFonts w:ascii="Palatino Linotype" w:hAnsi="Palatino Linotype"/>
          <w:sz w:val="24"/>
          <w:szCs w:val="24"/>
        </w:rPr>
        <w:t xml:space="preserve">procedimiento al que se le asignó el número de expediente </w:t>
      </w:r>
      <w:r w:rsidR="006E4312">
        <w:rPr>
          <w:rFonts w:ascii="Palatino Linotype" w:hAnsi="Palatino Linotype"/>
          <w:b/>
          <w:sz w:val="24"/>
          <w:szCs w:val="24"/>
        </w:rPr>
        <w:t>00172/INFOEM/IP/RR/2019</w:t>
      </w:r>
      <w:r w:rsidRPr="00101BED">
        <w:rPr>
          <w:rFonts w:ascii="Palatino Linotype" w:hAnsi="Palatino Linotype"/>
          <w:b/>
          <w:sz w:val="24"/>
          <w:szCs w:val="24"/>
        </w:rPr>
        <w:t>.</w:t>
      </w:r>
    </w:p>
    <w:p w:rsidR="006E4312" w:rsidRDefault="006E4312" w:rsidP="006E4312">
      <w:pPr>
        <w:spacing w:line="360" w:lineRule="auto"/>
        <w:contextualSpacing/>
        <w:jc w:val="both"/>
        <w:rPr>
          <w:rFonts w:ascii="Palatino Linotype" w:hAnsi="Palatino Linotype"/>
          <w:sz w:val="24"/>
          <w:szCs w:val="24"/>
        </w:rPr>
      </w:pPr>
    </w:p>
    <w:p w:rsidR="00BF3157" w:rsidRPr="00101BED" w:rsidRDefault="00BF3157" w:rsidP="006E4312">
      <w:pPr>
        <w:spacing w:line="360" w:lineRule="auto"/>
        <w:contextualSpacing/>
        <w:jc w:val="both"/>
        <w:rPr>
          <w:rFonts w:ascii="Palatino Linotype" w:hAnsi="Palatino Linotype"/>
          <w:sz w:val="24"/>
          <w:szCs w:val="24"/>
        </w:rPr>
      </w:pPr>
    </w:p>
    <w:p w:rsidR="006E4312" w:rsidRPr="009A7816" w:rsidRDefault="009A7816" w:rsidP="00721242">
      <w:pPr>
        <w:numPr>
          <w:ilvl w:val="0"/>
          <w:numId w:val="1"/>
        </w:numPr>
        <w:spacing w:line="360" w:lineRule="auto"/>
        <w:ind w:left="0" w:firstLine="0"/>
        <w:contextualSpacing/>
        <w:jc w:val="both"/>
        <w:rPr>
          <w:rFonts w:ascii="Palatino Linotype" w:hAnsi="Palatino Linotype" w:cs="Arial"/>
          <w:i/>
          <w:sz w:val="24"/>
          <w:szCs w:val="24"/>
        </w:rPr>
      </w:pPr>
      <w:r w:rsidRPr="009A7816">
        <w:rPr>
          <w:rFonts w:ascii="Palatino Linotype" w:hAnsi="Palatino Linotype"/>
          <w:sz w:val="24"/>
          <w:szCs w:val="24"/>
        </w:rPr>
        <w:t>Se</w:t>
      </w:r>
      <w:r>
        <w:rPr>
          <w:rFonts w:ascii="Palatino Linotype" w:hAnsi="Palatino Linotype"/>
          <w:b/>
          <w:sz w:val="24"/>
          <w:szCs w:val="24"/>
        </w:rPr>
        <w:t xml:space="preserve"> </w:t>
      </w:r>
      <w:r w:rsidR="006E4312" w:rsidRPr="009A7816">
        <w:rPr>
          <w:rFonts w:ascii="Palatino Linotype" w:hAnsi="Palatino Linotype" w:cs="Arial"/>
          <w:sz w:val="24"/>
          <w:szCs w:val="24"/>
        </w:rPr>
        <w:t xml:space="preserve">determinó puntualmente </w:t>
      </w:r>
      <w:r w:rsidR="006E4312" w:rsidRPr="009A7816">
        <w:rPr>
          <w:rFonts w:ascii="Palatino Linotype" w:hAnsi="Palatino Linotype" w:cs="Arial"/>
          <w:b/>
          <w:sz w:val="24"/>
          <w:szCs w:val="24"/>
        </w:rPr>
        <w:t>SOBRESEER</w:t>
      </w:r>
      <w:r w:rsidR="006E4312" w:rsidRPr="009A7816">
        <w:rPr>
          <w:rFonts w:ascii="Palatino Linotype" w:hAnsi="Palatino Linotype" w:cs="Arial"/>
          <w:sz w:val="24"/>
          <w:szCs w:val="24"/>
        </w:rPr>
        <w:t xml:space="preserve"> la presente resolución</w:t>
      </w:r>
      <w:r>
        <w:rPr>
          <w:rFonts w:ascii="Palatino Linotype" w:hAnsi="Palatino Linotype" w:cs="Arial"/>
          <w:sz w:val="24"/>
          <w:szCs w:val="24"/>
        </w:rPr>
        <w:t>,</w:t>
      </w:r>
      <w:r w:rsidRPr="009A7816">
        <w:rPr>
          <w:rFonts w:ascii="Palatino Linotype" w:eastAsia="Times New Roman" w:hAnsi="Palatino Linotype" w:cs="Arial"/>
          <w:b/>
          <w:sz w:val="24"/>
          <w:szCs w:val="24"/>
          <w:lang w:eastAsia="es-ES"/>
        </w:rPr>
        <w:t xml:space="preserve"> </w:t>
      </w:r>
      <w:r w:rsidRPr="009A7816">
        <w:rPr>
          <w:rFonts w:ascii="Palatino Linotype" w:eastAsia="Times New Roman" w:hAnsi="Palatino Linotype" w:cs="Arial"/>
          <w:sz w:val="24"/>
          <w:szCs w:val="24"/>
          <w:lang w:eastAsia="es-ES"/>
        </w:rPr>
        <w:t xml:space="preserve">porque al modificar la respuesta el </w:t>
      </w:r>
      <w:r w:rsidRPr="009A7816">
        <w:rPr>
          <w:rFonts w:ascii="Palatino Linotype" w:hAnsi="Palatino Linotype" w:cs="Arial"/>
          <w:b/>
          <w:sz w:val="24"/>
          <w:szCs w:val="24"/>
        </w:rPr>
        <w:t>SUJETO OBLIGADO</w:t>
      </w:r>
      <w:r w:rsidRPr="009A7816">
        <w:rPr>
          <w:rFonts w:ascii="Palatino Linotype" w:hAnsi="Palatino Linotype" w:cs="Arial"/>
          <w:sz w:val="24"/>
          <w:szCs w:val="24"/>
        </w:rPr>
        <w:t xml:space="preserve"> </w:t>
      </w:r>
      <w:r w:rsidRPr="009A7816">
        <w:rPr>
          <w:rFonts w:ascii="Palatino Linotype" w:eastAsia="Times New Roman" w:hAnsi="Palatino Linotype" w:cs="Arial"/>
          <w:sz w:val="24"/>
          <w:szCs w:val="24"/>
          <w:lang w:eastAsia="es-ES"/>
        </w:rPr>
        <w:t xml:space="preserve">el recurso de revisión quedó </w:t>
      </w:r>
      <w:r w:rsidRPr="009A7816">
        <w:rPr>
          <w:rFonts w:ascii="Palatino Linotype" w:eastAsia="Times New Roman" w:hAnsi="Palatino Linotype" w:cs="Arial"/>
          <w:sz w:val="24"/>
          <w:szCs w:val="24"/>
          <w:lang w:val="es-ES" w:eastAsia="es-ES"/>
        </w:rPr>
        <w:t>sin materia</w:t>
      </w:r>
      <w:r w:rsidRPr="009A7816">
        <w:rPr>
          <w:rFonts w:ascii="Palatino Linotype" w:hAnsi="Palatino Linotype" w:cs="Arial"/>
          <w:sz w:val="24"/>
          <w:szCs w:val="24"/>
        </w:rPr>
        <w:t>.</w:t>
      </w:r>
    </w:p>
    <w:p w:rsidR="006E4312" w:rsidRDefault="006E4312" w:rsidP="006E4312">
      <w:pPr>
        <w:pStyle w:val="Prrafodelista"/>
        <w:rPr>
          <w:rFonts w:ascii="Palatino Linotype" w:hAnsi="Palatino Linotype"/>
          <w:sz w:val="24"/>
          <w:szCs w:val="24"/>
        </w:rPr>
      </w:pPr>
    </w:p>
    <w:p w:rsidR="00101BED" w:rsidRPr="00101BED" w:rsidRDefault="00101BED" w:rsidP="00721242">
      <w:pPr>
        <w:numPr>
          <w:ilvl w:val="0"/>
          <w:numId w:val="1"/>
        </w:numPr>
        <w:spacing w:line="360" w:lineRule="auto"/>
        <w:ind w:left="0" w:firstLine="0"/>
        <w:contextualSpacing/>
        <w:jc w:val="both"/>
        <w:rPr>
          <w:rFonts w:ascii="Palatino Linotype" w:hAnsi="Palatino Linotype"/>
          <w:sz w:val="24"/>
          <w:szCs w:val="24"/>
        </w:rPr>
      </w:pPr>
      <w:r w:rsidRPr="00101BED">
        <w:rPr>
          <w:rFonts w:ascii="Palatino Linotype" w:hAnsi="Palatino Linotype"/>
          <w:sz w:val="24"/>
          <w:szCs w:val="24"/>
        </w:rPr>
        <w:t>Por tal motivo y en términos de lo señalado por el artículo 14 fracción XI del Reglamento Interior del Instituto de Transparencia y Acceso a la Información Pública del Estado de México y Municipios formulo el presente voto particular.</w:t>
      </w:r>
    </w:p>
    <w:p w:rsidR="00101BED" w:rsidRPr="00101BED" w:rsidRDefault="00101BED" w:rsidP="00721242">
      <w:pPr>
        <w:contextualSpacing/>
        <w:rPr>
          <w:rFonts w:ascii="Palatino Linotype" w:hAnsi="Palatino Linotype"/>
          <w:sz w:val="24"/>
          <w:szCs w:val="24"/>
        </w:rPr>
      </w:pPr>
    </w:p>
    <w:p w:rsidR="00101BED" w:rsidRPr="00101BED" w:rsidRDefault="00101BED" w:rsidP="00721242">
      <w:pPr>
        <w:keepNext/>
        <w:keepLines/>
        <w:numPr>
          <w:ilvl w:val="0"/>
          <w:numId w:val="2"/>
        </w:numPr>
        <w:spacing w:before="240" w:after="0"/>
        <w:ind w:left="0" w:firstLine="0"/>
        <w:outlineLvl w:val="0"/>
        <w:rPr>
          <w:rFonts w:ascii="Palatino Linotype" w:eastAsiaTheme="majorEastAsia" w:hAnsi="Palatino Linotype" w:cstheme="majorBidi"/>
          <w:b/>
          <w:sz w:val="24"/>
          <w:szCs w:val="32"/>
        </w:rPr>
      </w:pPr>
      <w:bookmarkStart w:id="2" w:name="_Toc269540"/>
      <w:r w:rsidRPr="00101BED">
        <w:rPr>
          <w:rFonts w:ascii="Palatino Linotype" w:eastAsiaTheme="majorEastAsia" w:hAnsi="Palatino Linotype" w:cstheme="majorBidi"/>
          <w:b/>
          <w:sz w:val="24"/>
          <w:szCs w:val="32"/>
        </w:rPr>
        <w:t>De los requerimientos planteados.</w:t>
      </w:r>
      <w:bookmarkEnd w:id="2"/>
    </w:p>
    <w:p w:rsidR="00101BED" w:rsidRPr="00101BED" w:rsidRDefault="00101BED" w:rsidP="00721242"/>
    <w:p w:rsidR="007B6C87" w:rsidRDefault="007B6C87" w:rsidP="00721242">
      <w:pPr>
        <w:numPr>
          <w:ilvl w:val="0"/>
          <w:numId w:val="1"/>
        </w:numPr>
        <w:spacing w:line="360" w:lineRule="auto"/>
        <w:ind w:left="0" w:right="49" w:firstLine="0"/>
        <w:contextualSpacing/>
        <w:jc w:val="both"/>
        <w:rPr>
          <w:rFonts w:ascii="Palatino Linotype" w:hAnsi="Palatino Linotype"/>
          <w:sz w:val="24"/>
        </w:rPr>
      </w:pPr>
      <w:r>
        <w:rPr>
          <w:rFonts w:ascii="Palatino Linotype" w:hAnsi="Palatino Linotype"/>
          <w:sz w:val="24"/>
        </w:rPr>
        <w:t xml:space="preserve">El recurrente </w:t>
      </w:r>
      <w:r w:rsidR="00101BED" w:rsidRPr="00101BED">
        <w:rPr>
          <w:rFonts w:ascii="Palatino Linotype" w:hAnsi="Palatino Linotype"/>
          <w:sz w:val="24"/>
        </w:rPr>
        <w:t xml:space="preserve">solicitó al </w:t>
      </w:r>
      <w:r w:rsidRPr="007B6C87">
        <w:rPr>
          <w:rFonts w:ascii="Palatino Linotype" w:hAnsi="Palatino Linotype"/>
          <w:b/>
          <w:sz w:val="24"/>
        </w:rPr>
        <w:t>SUJETO OBLIGADO</w:t>
      </w:r>
      <w:r w:rsidRPr="00101BED">
        <w:rPr>
          <w:rFonts w:ascii="Palatino Linotype" w:hAnsi="Palatino Linotype"/>
          <w:sz w:val="24"/>
        </w:rPr>
        <w:t xml:space="preserve"> </w:t>
      </w:r>
      <w:r>
        <w:rPr>
          <w:rFonts w:ascii="Palatino Linotype" w:hAnsi="Palatino Linotype"/>
          <w:sz w:val="24"/>
        </w:rPr>
        <w:t xml:space="preserve">la información correspondiente a: </w:t>
      </w:r>
    </w:p>
    <w:p w:rsidR="007B6C87" w:rsidRPr="007B6C87" w:rsidRDefault="007B6C87" w:rsidP="007B6C87">
      <w:pPr>
        <w:pStyle w:val="Prrafodelista"/>
        <w:spacing w:before="100" w:beforeAutospacing="1" w:after="100" w:afterAutospacing="1"/>
        <w:ind w:left="567" w:right="616"/>
        <w:jc w:val="both"/>
        <w:rPr>
          <w:rFonts w:ascii="Palatino Linotype" w:hAnsi="Palatino Linotype"/>
        </w:rPr>
      </w:pPr>
      <w:r w:rsidRPr="007B6C87">
        <w:rPr>
          <w:rFonts w:ascii="Palatino Linotype" w:hAnsi="Palatino Linotype" w:cs="Arial"/>
          <w:i/>
        </w:rPr>
        <w:t xml:space="preserve">“Bitácora, listado o documento de registro que evidencie los Servidores Públicos y alumnos que han recibido atención por el servicio médico de la institución desde su creación.” </w:t>
      </w:r>
      <w:r w:rsidRPr="007B6C87">
        <w:rPr>
          <w:rFonts w:ascii="Palatino Linotype" w:hAnsi="Palatino Linotype"/>
        </w:rPr>
        <w:t>(Sic)</w:t>
      </w:r>
    </w:p>
    <w:p w:rsidR="007B6C87" w:rsidRDefault="007B6C87" w:rsidP="007B6C87">
      <w:pPr>
        <w:spacing w:line="360" w:lineRule="auto"/>
        <w:ind w:right="49"/>
        <w:contextualSpacing/>
        <w:jc w:val="both"/>
        <w:rPr>
          <w:rFonts w:ascii="Palatino Linotype" w:hAnsi="Palatino Linotype"/>
          <w:sz w:val="24"/>
        </w:rPr>
      </w:pPr>
    </w:p>
    <w:p w:rsidR="007B6C87" w:rsidRPr="007B6C87" w:rsidRDefault="00101BED" w:rsidP="00721242">
      <w:pPr>
        <w:numPr>
          <w:ilvl w:val="0"/>
          <w:numId w:val="1"/>
        </w:numPr>
        <w:spacing w:line="360" w:lineRule="auto"/>
        <w:ind w:left="0" w:right="49" w:firstLine="0"/>
        <w:contextualSpacing/>
        <w:jc w:val="both"/>
        <w:rPr>
          <w:rFonts w:ascii="Palatino Linotype" w:hAnsi="Palatino Linotype"/>
          <w:sz w:val="24"/>
        </w:rPr>
      </w:pPr>
      <w:r w:rsidRPr="00101BED">
        <w:rPr>
          <w:rFonts w:ascii="Palatino Linotype" w:hAnsi="Palatino Linotype"/>
          <w:sz w:val="24"/>
        </w:rPr>
        <w:t>En respuesta, se</w:t>
      </w:r>
      <w:r w:rsidR="007B6C87">
        <w:rPr>
          <w:rFonts w:ascii="Palatino Linotype" w:hAnsi="Palatino Linotype"/>
          <w:sz w:val="24"/>
        </w:rPr>
        <w:t xml:space="preserve"> informó en términos generales que…</w:t>
      </w:r>
      <w:r w:rsidR="007B6C87" w:rsidRPr="007B6C87">
        <w:rPr>
          <w:rFonts w:ascii="Palatino Linotype" w:hAnsi="Palatino Linotype"/>
          <w:i/>
          <w:sz w:val="24"/>
        </w:rPr>
        <w:t>dentro de las funciones del Manual General de Organización, publicado en el Periódico Oficial Gaceta del Gobierno de fecha 09</w:t>
      </w:r>
      <w:r w:rsidR="007B6C87">
        <w:rPr>
          <w:rFonts w:ascii="Palatino Linotype" w:hAnsi="Palatino Linotype"/>
          <w:i/>
          <w:sz w:val="24"/>
        </w:rPr>
        <w:t xml:space="preserve"> de noviembre de 2011, no establece que esta Unidad Administrativa, tenga la obligación de generar, poseer, o administrar un documento que de evidencia del servicio médico, en virtud de que la estructura orgánica de esta Casa de Estudios, no contempla el servicio médico de alumnos y servidores públicos.</w:t>
      </w:r>
    </w:p>
    <w:p w:rsidR="007B6C87" w:rsidRDefault="007B6C87" w:rsidP="007B6C87">
      <w:pPr>
        <w:spacing w:line="360" w:lineRule="auto"/>
        <w:ind w:right="49"/>
        <w:contextualSpacing/>
        <w:jc w:val="both"/>
        <w:rPr>
          <w:rFonts w:ascii="Palatino Linotype" w:hAnsi="Palatino Linotype"/>
          <w:sz w:val="24"/>
        </w:rPr>
      </w:pPr>
    </w:p>
    <w:p w:rsidR="007B6C87" w:rsidRDefault="00101BED" w:rsidP="00721242">
      <w:pPr>
        <w:numPr>
          <w:ilvl w:val="0"/>
          <w:numId w:val="1"/>
        </w:numPr>
        <w:spacing w:line="360" w:lineRule="auto"/>
        <w:ind w:left="0" w:right="49" w:firstLine="0"/>
        <w:contextualSpacing/>
        <w:jc w:val="both"/>
        <w:rPr>
          <w:rFonts w:ascii="Palatino Linotype" w:hAnsi="Palatino Linotype"/>
          <w:sz w:val="24"/>
        </w:rPr>
      </w:pPr>
      <w:r w:rsidRPr="00101BED">
        <w:rPr>
          <w:rFonts w:ascii="Palatino Linotype" w:hAnsi="Palatino Linotype"/>
          <w:sz w:val="24"/>
        </w:rPr>
        <w:lastRenderedPageBreak/>
        <w:t xml:space="preserve">La inconformidad </w:t>
      </w:r>
      <w:r w:rsidR="002D1222">
        <w:rPr>
          <w:rFonts w:ascii="Palatino Linotype" w:hAnsi="Palatino Linotype"/>
          <w:sz w:val="24"/>
        </w:rPr>
        <w:t xml:space="preserve">consistió en términos generales </w:t>
      </w:r>
      <w:r w:rsidRPr="00101BED">
        <w:rPr>
          <w:rFonts w:ascii="Palatino Linotype" w:hAnsi="Palatino Linotype"/>
          <w:sz w:val="24"/>
        </w:rPr>
        <w:t xml:space="preserve">fue porque </w:t>
      </w:r>
      <w:r w:rsidR="007B6C87">
        <w:rPr>
          <w:rFonts w:ascii="Palatino Linotype" w:hAnsi="Palatino Linotype"/>
          <w:sz w:val="24"/>
        </w:rPr>
        <w:t xml:space="preserve">se niega información, a decir del recurrente </w:t>
      </w:r>
      <w:r w:rsidR="002D1222">
        <w:rPr>
          <w:rFonts w:ascii="Palatino Linotype" w:hAnsi="Palatino Linotype"/>
          <w:sz w:val="24"/>
        </w:rPr>
        <w:t>refiere que el Sujeto Obligado cuenta con los servicios médicos en su instalaciones, así como el personal encargado del mismo.</w:t>
      </w:r>
    </w:p>
    <w:p w:rsidR="00BF3157" w:rsidRDefault="00BF3157" w:rsidP="00BF3157">
      <w:pPr>
        <w:pStyle w:val="Prrafodelista"/>
        <w:rPr>
          <w:rFonts w:ascii="Palatino Linotype" w:hAnsi="Palatino Linotype"/>
          <w:sz w:val="24"/>
        </w:rPr>
      </w:pPr>
    </w:p>
    <w:p w:rsidR="002D1222" w:rsidRPr="00BF3157" w:rsidRDefault="002D1222" w:rsidP="00721242">
      <w:pPr>
        <w:numPr>
          <w:ilvl w:val="0"/>
          <w:numId w:val="1"/>
        </w:numPr>
        <w:spacing w:line="360" w:lineRule="auto"/>
        <w:ind w:left="0" w:right="49" w:firstLine="0"/>
        <w:contextualSpacing/>
        <w:jc w:val="both"/>
        <w:rPr>
          <w:rFonts w:ascii="Palatino Linotype" w:hAnsi="Palatino Linotype"/>
          <w:sz w:val="24"/>
        </w:rPr>
      </w:pPr>
      <w:r>
        <w:rPr>
          <w:rFonts w:ascii="Palatino Linotype" w:hAnsi="Palatino Linotype"/>
          <w:sz w:val="24"/>
        </w:rPr>
        <w:t>En fecha siete de febrero de dos mil diecinueve el</w:t>
      </w:r>
      <w:r w:rsidRPr="002D1222">
        <w:rPr>
          <w:rFonts w:ascii="Palatino Linotype" w:eastAsia="Times New Roman" w:hAnsi="Palatino Linotype" w:cs="Arial"/>
          <w:b/>
          <w:sz w:val="24"/>
          <w:szCs w:val="24"/>
          <w:lang w:eastAsia="es-ES"/>
        </w:rPr>
        <w:t xml:space="preserve"> SUJETO OBLIGADO</w:t>
      </w:r>
      <w:r w:rsidRPr="002D1222">
        <w:rPr>
          <w:rFonts w:ascii="Palatino Linotype" w:eastAsia="Times New Roman" w:hAnsi="Palatino Linotype" w:cs="Arial"/>
          <w:sz w:val="24"/>
          <w:szCs w:val="24"/>
          <w:lang w:eastAsia="es-ES"/>
        </w:rPr>
        <w:t>, en alcance a su Informe Justificado, remitió al correo institucional de personal adscrito a esta Ponencia, el siguiente archivo electrónico</w:t>
      </w:r>
      <w:r>
        <w:rPr>
          <w:rFonts w:ascii="Palatino Linotype" w:eastAsia="Times New Roman" w:hAnsi="Palatino Linotype" w:cs="Arial"/>
          <w:sz w:val="24"/>
          <w:szCs w:val="24"/>
          <w:lang w:eastAsia="es-ES"/>
        </w:rPr>
        <w:t>:</w:t>
      </w:r>
    </w:p>
    <w:p w:rsidR="00BF3157" w:rsidRPr="002D1222" w:rsidRDefault="00BF3157" w:rsidP="00BF3157">
      <w:pPr>
        <w:spacing w:line="360" w:lineRule="auto"/>
        <w:ind w:right="49"/>
        <w:contextualSpacing/>
        <w:jc w:val="both"/>
        <w:rPr>
          <w:rFonts w:ascii="Palatino Linotype" w:hAnsi="Palatino Linotype"/>
          <w:sz w:val="24"/>
        </w:rPr>
      </w:pPr>
      <w:r>
        <w:rPr>
          <w:rFonts w:ascii="Palatino Linotype" w:hAnsi="Palatino Linotype"/>
          <w:noProof/>
          <w:sz w:val="24"/>
          <w:lang w:eastAsia="es-MX"/>
        </w:rPr>
        <mc:AlternateContent>
          <mc:Choice Requires="wps">
            <w:drawing>
              <wp:anchor distT="0" distB="0" distL="114300" distR="114300" simplePos="0" relativeHeight="251660288" behindDoc="0" locked="0" layoutInCell="1" allowOverlap="1">
                <wp:simplePos x="0" y="0"/>
                <wp:positionH relativeFrom="column">
                  <wp:posOffset>86749</wp:posOffset>
                </wp:positionH>
                <wp:positionV relativeFrom="paragraph">
                  <wp:posOffset>84038</wp:posOffset>
                </wp:positionV>
                <wp:extent cx="5479576" cy="5049672"/>
                <wp:effectExtent l="19050" t="19050" r="26035" b="36830"/>
                <wp:wrapNone/>
                <wp:docPr id="6" name="Conector recto 6"/>
                <wp:cNvGraphicFramePr/>
                <a:graphic xmlns:a="http://schemas.openxmlformats.org/drawingml/2006/main">
                  <a:graphicData uri="http://schemas.microsoft.com/office/word/2010/wordprocessingShape">
                    <wps:wsp>
                      <wps:cNvCnPr/>
                      <wps:spPr>
                        <a:xfrm>
                          <a:off x="0" y="0"/>
                          <a:ext cx="5479576" cy="504967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0DFCC" id="Conector recto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6.6pt" to="438.3pt,4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" strokecolor="#5b9bd5 [3204]" strokeweight="3pt">
                <v:stroke joinstyle="miter"/>
              </v:line>
            </w:pict>
          </mc:Fallback>
        </mc:AlternateContent>
      </w:r>
    </w:p>
    <w:p w:rsidR="002D1222" w:rsidRDefault="002D1222" w:rsidP="002D1222">
      <w:pPr>
        <w:pStyle w:val="Prrafodelista"/>
        <w:ind w:left="567"/>
        <w:rPr>
          <w:rFonts w:ascii="Palatino Linotype" w:hAnsi="Palatino Linotype"/>
          <w:sz w:val="24"/>
        </w:rPr>
      </w:pPr>
      <w:r w:rsidRPr="002D1222">
        <w:rPr>
          <w:rFonts w:ascii="Times New Roman" w:eastAsia="Times New Roman" w:hAnsi="Times New Roman" w:cs="Times New Roman"/>
          <w:noProof/>
          <w:sz w:val="24"/>
          <w:szCs w:val="24"/>
          <w:lang w:eastAsia="es-MX"/>
        </w:rPr>
        <w:lastRenderedPageBreak/>
        <w:drawing>
          <wp:inline distT="0" distB="0" distL="0" distR="0" wp14:anchorId="38599CA8" wp14:editId="60DBBC9C">
            <wp:extent cx="5152030" cy="526497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370" t="22613" r="45410" b="27936"/>
                    <a:stretch/>
                  </pic:blipFill>
                  <pic:spPr bwMode="auto">
                    <a:xfrm>
                      <a:off x="0" y="0"/>
                      <a:ext cx="5161870" cy="5275033"/>
                    </a:xfrm>
                    <a:prstGeom prst="rect">
                      <a:avLst/>
                    </a:prstGeom>
                    <a:ln>
                      <a:noFill/>
                    </a:ln>
                    <a:extLst>
                      <a:ext uri="{53640926-AAD7-44D8-BBD7-CCE9431645EC}">
                        <a14:shadowObscured xmlns:a14="http://schemas.microsoft.com/office/drawing/2010/main"/>
                      </a:ext>
                    </a:extLst>
                  </pic:spPr>
                </pic:pic>
              </a:graphicData>
            </a:graphic>
          </wp:inline>
        </w:drawing>
      </w:r>
    </w:p>
    <w:p w:rsidR="00BF3157" w:rsidRDefault="00BF3157" w:rsidP="00BF3157">
      <w:pPr>
        <w:spacing w:line="360" w:lineRule="auto"/>
        <w:ind w:right="49"/>
        <w:contextualSpacing/>
        <w:jc w:val="both"/>
        <w:rPr>
          <w:rFonts w:ascii="Palatino Linotype" w:hAnsi="Palatino Linotype"/>
          <w:sz w:val="24"/>
        </w:rPr>
      </w:pPr>
    </w:p>
    <w:p w:rsidR="009C7B58" w:rsidRPr="00BF3157" w:rsidRDefault="009C7B58" w:rsidP="00BF3157">
      <w:pPr>
        <w:numPr>
          <w:ilvl w:val="0"/>
          <w:numId w:val="1"/>
        </w:numPr>
        <w:spacing w:line="360" w:lineRule="auto"/>
        <w:ind w:left="0" w:right="49" w:firstLine="0"/>
        <w:contextualSpacing/>
        <w:jc w:val="both"/>
        <w:rPr>
          <w:rFonts w:ascii="Palatino Linotype" w:hAnsi="Palatino Linotype"/>
          <w:sz w:val="24"/>
        </w:rPr>
      </w:pPr>
      <w:r w:rsidRPr="00BF3157">
        <w:rPr>
          <w:rFonts w:ascii="Palatino Linotype" w:hAnsi="Palatino Linotype"/>
          <w:sz w:val="24"/>
        </w:rPr>
        <w:t>Mi voto particular se deriva del alance al informe justificado documento por el cual se dicta el sobreseimiento de la resolución. El Servidor Público Habilitado del Departamento de Recursos Humanos y Materiales informó que es su facultad la “supervisar la funciones y actividades del servicio médico, así como proporcionar</w:t>
      </w:r>
      <w:r w:rsidR="00BF3157">
        <w:rPr>
          <w:rFonts w:ascii="Palatino Linotype" w:hAnsi="Palatino Linotype"/>
          <w:sz w:val="24"/>
        </w:rPr>
        <w:t xml:space="preserve"> </w:t>
      </w:r>
      <w:r w:rsidRPr="00BF3157">
        <w:rPr>
          <w:rFonts w:ascii="Palatino Linotype" w:hAnsi="Palatino Linotype"/>
          <w:sz w:val="24"/>
        </w:rPr>
        <w:lastRenderedPageBreak/>
        <w:t>el equipo y medicamento necesarios para su correcto desempeño”. Pero que dicha Unidad administrativa no genera ni posee la información referente a “Bitácora, listado o documento de registro que evidencie los Servidores Público y alumnos que han recibido atención por el servicio médico de la Institución desde su creación.</w:t>
      </w:r>
    </w:p>
    <w:p w:rsidR="009C7B58" w:rsidRDefault="009C7B58" w:rsidP="009C7B58">
      <w:pPr>
        <w:spacing w:line="360" w:lineRule="auto"/>
        <w:ind w:right="49"/>
        <w:contextualSpacing/>
        <w:jc w:val="both"/>
        <w:rPr>
          <w:rFonts w:ascii="Palatino Linotype" w:hAnsi="Palatino Linotype"/>
          <w:sz w:val="24"/>
        </w:rPr>
      </w:pPr>
    </w:p>
    <w:p w:rsidR="009C7B58" w:rsidRPr="009C7B58" w:rsidRDefault="009C7B58" w:rsidP="00721242">
      <w:pPr>
        <w:numPr>
          <w:ilvl w:val="0"/>
          <w:numId w:val="1"/>
        </w:numPr>
        <w:spacing w:line="360" w:lineRule="auto"/>
        <w:ind w:left="0" w:right="49" w:firstLine="0"/>
        <w:contextualSpacing/>
        <w:jc w:val="both"/>
        <w:rPr>
          <w:rFonts w:ascii="Palatino Linotype" w:hAnsi="Palatino Linotype"/>
          <w:sz w:val="24"/>
        </w:rPr>
      </w:pPr>
      <w:r>
        <w:rPr>
          <w:rFonts w:ascii="Palatino Linotype" w:hAnsi="Palatino Linotype"/>
          <w:sz w:val="24"/>
        </w:rPr>
        <w:t>E</w:t>
      </w:r>
      <w:r w:rsidR="00101BED" w:rsidRPr="00101BED">
        <w:rPr>
          <w:rFonts w:ascii="Palatino Linotype" w:hAnsi="Palatino Linotype"/>
          <w:sz w:val="24"/>
        </w:rPr>
        <w:t>n el estudio y anál</w:t>
      </w:r>
      <w:r>
        <w:rPr>
          <w:rFonts w:ascii="Palatino Linotype" w:hAnsi="Palatino Linotype"/>
          <w:sz w:val="24"/>
        </w:rPr>
        <w:t>isis del recurso de revisión, la Comisionada</w:t>
      </w:r>
      <w:r w:rsidR="00101BED" w:rsidRPr="00101BED">
        <w:rPr>
          <w:rFonts w:ascii="Palatino Linotype" w:hAnsi="Palatino Linotype"/>
          <w:sz w:val="24"/>
        </w:rPr>
        <w:t xml:space="preserve"> Ponente </w:t>
      </w:r>
      <w:r w:rsidR="0052371E">
        <w:rPr>
          <w:rFonts w:ascii="Palatino Linotype" w:hAnsi="Palatino Linotype"/>
          <w:sz w:val="24"/>
        </w:rPr>
        <w:t xml:space="preserve"> argumentó como primer elemento para decretar el sobresimiento,</w:t>
      </w:r>
      <w:r w:rsidR="00101BED" w:rsidRPr="00101BED">
        <w:rPr>
          <w:rFonts w:ascii="Palatino Linotype" w:hAnsi="Palatino Linotype"/>
          <w:sz w:val="24"/>
        </w:rPr>
        <w:t xml:space="preserve"> que </w:t>
      </w:r>
      <w:r>
        <w:rPr>
          <w:rFonts w:ascii="Palatino Linotype" w:hAnsi="Palatino Linotype"/>
          <w:sz w:val="24"/>
        </w:rPr>
        <w:t>se actualizaba la causal de sobreseimiento contenida en el artículo 192 fracción III de la</w:t>
      </w:r>
      <w:r w:rsidRPr="009C7B58">
        <w:rPr>
          <w:rFonts w:ascii="Palatino Linotype" w:eastAsia="Times New Roman" w:hAnsi="Palatino Linotype" w:cs="Times New Roman"/>
          <w:sz w:val="24"/>
          <w:szCs w:val="24"/>
          <w:lang w:eastAsia="es-ES"/>
        </w:rPr>
        <w:t xml:space="preserve"> Ley de Transparencia y Acceso a la Información Pública del Estado de México </w:t>
      </w:r>
      <w:r>
        <w:rPr>
          <w:rFonts w:ascii="Palatino Linotype" w:eastAsia="Times New Roman" w:hAnsi="Palatino Linotype" w:cs="Times New Roman"/>
          <w:sz w:val="24"/>
          <w:szCs w:val="24"/>
          <w:lang w:eastAsia="es-ES"/>
        </w:rPr>
        <w:t>y Municipio, el cual establece lo siguiente:</w:t>
      </w:r>
    </w:p>
    <w:p w:rsidR="009C7B58" w:rsidRPr="009C7B58" w:rsidRDefault="009C7B58" w:rsidP="009C7B58">
      <w:pPr>
        <w:pStyle w:val="Prrafodelista"/>
        <w:tabs>
          <w:tab w:val="left" w:pos="851"/>
        </w:tabs>
        <w:spacing w:before="100" w:beforeAutospacing="1" w:after="100" w:afterAutospacing="1"/>
        <w:ind w:left="567" w:right="616"/>
        <w:jc w:val="both"/>
        <w:rPr>
          <w:rFonts w:ascii="Palatino Linotype" w:hAnsi="Palatino Linotype" w:cs="Arial"/>
          <w:i/>
        </w:rPr>
      </w:pPr>
      <w:r w:rsidRPr="009C7B58">
        <w:rPr>
          <w:rFonts w:ascii="Palatino Linotype" w:hAnsi="Palatino Linotype" w:cs="Arial"/>
          <w:i/>
        </w:rPr>
        <w:t>“</w:t>
      </w:r>
      <w:r w:rsidRPr="009C7B58">
        <w:rPr>
          <w:rFonts w:ascii="Palatino Linotype" w:hAnsi="Palatino Linotype" w:cs="Arial"/>
          <w:b/>
          <w:i/>
        </w:rPr>
        <w:t xml:space="preserve">Artículo 192. </w:t>
      </w:r>
      <w:r w:rsidRPr="009C7B58">
        <w:rPr>
          <w:rFonts w:ascii="Palatino Linotype" w:hAnsi="Palatino Linotype" w:cs="Arial"/>
          <w:i/>
        </w:rPr>
        <w:t>El recurso será sobreseído, en todo o en parte, cuando una vez admitido, se actualicen alguno de los siguientes supuestos:</w:t>
      </w:r>
    </w:p>
    <w:p w:rsidR="009C7B58" w:rsidRPr="009C7B58" w:rsidRDefault="009C7B58" w:rsidP="009C7B58">
      <w:pPr>
        <w:pStyle w:val="Prrafodelista"/>
        <w:spacing w:before="100" w:beforeAutospacing="1" w:after="100" w:afterAutospacing="1"/>
        <w:ind w:left="567" w:right="616"/>
        <w:jc w:val="both"/>
        <w:rPr>
          <w:rFonts w:ascii="Palatino Linotype" w:hAnsi="Palatino Linotype" w:cs="Arial"/>
          <w:i/>
        </w:rPr>
      </w:pPr>
      <w:r w:rsidRPr="009C7B58">
        <w:rPr>
          <w:rFonts w:ascii="Palatino Linotype" w:hAnsi="Palatino Linotype" w:cs="Arial"/>
          <w:i/>
        </w:rPr>
        <w:t>(…)</w:t>
      </w:r>
    </w:p>
    <w:p w:rsidR="009C7B58" w:rsidRPr="009C7B58" w:rsidRDefault="009C7B58" w:rsidP="009C7B58">
      <w:pPr>
        <w:pStyle w:val="Prrafodelista"/>
        <w:tabs>
          <w:tab w:val="left" w:pos="851"/>
        </w:tabs>
        <w:spacing w:before="100" w:beforeAutospacing="1" w:after="100" w:afterAutospacing="1"/>
        <w:ind w:left="567" w:right="616"/>
        <w:jc w:val="both"/>
        <w:rPr>
          <w:rFonts w:ascii="Palatino Linotype" w:hAnsi="Palatino Linotype" w:cs="Arial"/>
          <w:b/>
          <w:i/>
        </w:rPr>
      </w:pPr>
      <w:r w:rsidRPr="009C7B58">
        <w:rPr>
          <w:rFonts w:ascii="Palatino Linotype" w:hAnsi="Palatino Linotype" w:cs="Arial"/>
          <w:b/>
          <w:i/>
        </w:rPr>
        <w:t>III. El sujeto obligado responsable del acto lo modifique o revoque de tal manera que el recurso de revisión quede sin materia;</w:t>
      </w:r>
    </w:p>
    <w:p w:rsidR="009C7B58" w:rsidRPr="009C7B58" w:rsidRDefault="009C7B58" w:rsidP="009C7B58">
      <w:pPr>
        <w:pStyle w:val="Prrafodelista"/>
        <w:tabs>
          <w:tab w:val="left" w:pos="851"/>
        </w:tabs>
        <w:spacing w:before="100" w:beforeAutospacing="1" w:after="100" w:afterAutospacing="1"/>
        <w:ind w:left="567" w:right="616"/>
        <w:jc w:val="both"/>
        <w:rPr>
          <w:rFonts w:ascii="Palatino Linotype" w:hAnsi="Palatino Linotype" w:cs="Arial"/>
          <w:i/>
        </w:rPr>
      </w:pPr>
      <w:r w:rsidRPr="009C7B58">
        <w:rPr>
          <w:rFonts w:ascii="Palatino Linotype" w:hAnsi="Palatino Linotype" w:cs="Arial"/>
          <w:i/>
        </w:rPr>
        <w:t xml:space="preserve">(Énfasis añadido)” </w:t>
      </w:r>
    </w:p>
    <w:p w:rsidR="009C7B58" w:rsidRDefault="009C7B58" w:rsidP="009C7B58">
      <w:pPr>
        <w:pStyle w:val="Prrafodelista"/>
        <w:rPr>
          <w:rFonts w:ascii="Palatino Linotype" w:hAnsi="Palatino Linotype"/>
          <w:sz w:val="24"/>
        </w:rPr>
      </w:pPr>
    </w:p>
    <w:p w:rsidR="0052371E" w:rsidRPr="0052371E" w:rsidRDefault="0052371E" w:rsidP="00721242">
      <w:pPr>
        <w:numPr>
          <w:ilvl w:val="0"/>
          <w:numId w:val="1"/>
        </w:numPr>
        <w:spacing w:line="360" w:lineRule="auto"/>
        <w:ind w:left="0" w:right="49" w:firstLine="0"/>
        <w:contextualSpacing/>
        <w:jc w:val="both"/>
        <w:rPr>
          <w:rFonts w:ascii="Palatino Linotype" w:hAnsi="Palatino Linotype"/>
          <w:sz w:val="24"/>
        </w:rPr>
      </w:pPr>
      <w:r w:rsidRPr="0052371E">
        <w:rPr>
          <w:rFonts w:ascii="Palatino Linotype" w:eastAsia="Times New Roman" w:hAnsi="Palatino Linotype" w:cs="Arial"/>
          <w:sz w:val="24"/>
          <w:szCs w:val="24"/>
          <w:lang w:eastAsia="es-ES"/>
        </w:rPr>
        <w:t xml:space="preserve">Como segundo elemento normativo, se argumentó la existencia de la respuesta del </w:t>
      </w:r>
      <w:r w:rsidRPr="0052371E">
        <w:rPr>
          <w:rFonts w:ascii="Palatino Linotype" w:eastAsia="Times New Roman" w:hAnsi="Palatino Linotype" w:cs="Arial"/>
          <w:b/>
          <w:sz w:val="24"/>
          <w:szCs w:val="24"/>
          <w:lang w:eastAsia="es-ES"/>
        </w:rPr>
        <w:t>SUJETO OBLIGAD</w:t>
      </w:r>
      <w:r>
        <w:rPr>
          <w:rFonts w:ascii="Palatino Linotype" w:eastAsia="Times New Roman" w:hAnsi="Palatino Linotype" w:cs="Arial"/>
          <w:b/>
          <w:sz w:val="24"/>
          <w:szCs w:val="24"/>
          <w:lang w:eastAsia="es-ES"/>
        </w:rPr>
        <w:t xml:space="preserve">O </w:t>
      </w:r>
      <w:r>
        <w:rPr>
          <w:rFonts w:ascii="Palatino Linotype" w:eastAsia="Times New Roman" w:hAnsi="Palatino Linotype" w:cs="Arial"/>
          <w:sz w:val="24"/>
          <w:szCs w:val="24"/>
          <w:lang w:eastAsia="es-ES"/>
        </w:rPr>
        <w:t xml:space="preserve">considerada como un “acto” el cual le permite dar certeza de la información pública, considerada como </w:t>
      </w:r>
      <w:r w:rsidRPr="0052371E">
        <w:rPr>
          <w:rFonts w:ascii="Palatino Linotype" w:eastAsia="Times New Roman" w:hAnsi="Palatino Linotype" w:cs="Arial"/>
          <w:sz w:val="24"/>
          <w:szCs w:val="24"/>
          <w:lang w:eastAsia="es-ES"/>
        </w:rPr>
        <w:t>la evidencia notoria y específica del actuar</w:t>
      </w:r>
      <w:r>
        <w:rPr>
          <w:rFonts w:ascii="Palatino Linotype" w:eastAsia="Times New Roman" w:hAnsi="Palatino Linotype" w:cs="Arial"/>
          <w:sz w:val="24"/>
          <w:szCs w:val="24"/>
          <w:lang w:eastAsia="es-ES"/>
        </w:rPr>
        <w:t xml:space="preserve"> y es a través de la misma se observa los</w:t>
      </w:r>
      <w:r w:rsidRPr="0052371E">
        <w:rPr>
          <w:rFonts w:ascii="Palatino Linotype" w:eastAsia="Times New Roman" w:hAnsi="Palatino Linotype" w:cs="Arial"/>
          <w:sz w:val="24"/>
          <w:szCs w:val="24"/>
          <w:lang w:eastAsia="es-ES"/>
        </w:rPr>
        <w:t xml:space="preserve"> actos que necesariamente ejecuta y ejerce al realizar sus atribuciones legalmente conferidas</w:t>
      </w:r>
      <w:r>
        <w:rPr>
          <w:rFonts w:ascii="Palatino Linotype" w:eastAsia="Times New Roman" w:hAnsi="Palatino Linotype" w:cs="Arial"/>
          <w:sz w:val="24"/>
          <w:szCs w:val="24"/>
          <w:lang w:eastAsia="es-ES"/>
        </w:rPr>
        <w:t>.</w:t>
      </w:r>
    </w:p>
    <w:p w:rsidR="0052371E" w:rsidRPr="0052371E" w:rsidRDefault="0052371E" w:rsidP="0052371E">
      <w:pPr>
        <w:spacing w:line="360" w:lineRule="auto"/>
        <w:ind w:right="49"/>
        <w:contextualSpacing/>
        <w:jc w:val="both"/>
        <w:rPr>
          <w:rFonts w:ascii="Palatino Linotype" w:hAnsi="Palatino Linotype"/>
          <w:sz w:val="24"/>
        </w:rPr>
      </w:pPr>
    </w:p>
    <w:p w:rsidR="0052371E" w:rsidRPr="0052371E" w:rsidRDefault="0052371E" w:rsidP="00721242">
      <w:pPr>
        <w:numPr>
          <w:ilvl w:val="0"/>
          <w:numId w:val="1"/>
        </w:numPr>
        <w:spacing w:line="360" w:lineRule="auto"/>
        <w:ind w:left="0" w:right="49" w:firstLine="0"/>
        <w:contextualSpacing/>
        <w:jc w:val="both"/>
        <w:rPr>
          <w:rFonts w:ascii="Palatino Linotype" w:hAnsi="Palatino Linotype"/>
          <w:sz w:val="24"/>
        </w:rPr>
      </w:pPr>
      <w:r>
        <w:rPr>
          <w:rFonts w:ascii="Palatino Linotype" w:hAnsi="Palatino Linotype"/>
          <w:sz w:val="24"/>
        </w:rPr>
        <w:lastRenderedPageBreak/>
        <w:t xml:space="preserve">El </w:t>
      </w:r>
      <w:r w:rsidR="00ED5339">
        <w:rPr>
          <w:rFonts w:ascii="Palatino Linotype" w:hAnsi="Palatino Linotype"/>
          <w:sz w:val="24"/>
        </w:rPr>
        <w:t xml:space="preserve">tercer elemento consistió en la </w:t>
      </w:r>
      <w:r w:rsidR="00ED5339" w:rsidRPr="00ED5339">
        <w:rPr>
          <w:rFonts w:ascii="Palatino Linotype" w:eastAsia="Times New Roman" w:hAnsi="Palatino Linotype" w:cs="Arial"/>
          <w:sz w:val="24"/>
          <w:szCs w:val="24"/>
          <w:lang w:eastAsia="es-ES"/>
        </w:rPr>
        <w:t xml:space="preserve">esencia una condicional, consistente en que la dependencia o entidad responsable del acto o resolución impugnada </w:t>
      </w:r>
      <w:r w:rsidR="00ED5339" w:rsidRPr="00ED5339">
        <w:rPr>
          <w:rFonts w:ascii="Palatino Linotype" w:eastAsia="Times New Roman" w:hAnsi="Palatino Linotype" w:cs="Arial"/>
          <w:b/>
          <w:sz w:val="24"/>
          <w:szCs w:val="24"/>
          <w:lang w:eastAsia="es-ES"/>
        </w:rPr>
        <w:t>la modifique o revoque</w:t>
      </w:r>
      <w:r w:rsidR="00ED5339" w:rsidRPr="00ED5339">
        <w:rPr>
          <w:rFonts w:ascii="Palatino Linotype" w:eastAsia="Times New Roman" w:hAnsi="Palatino Linotype" w:cs="Arial"/>
          <w:sz w:val="24"/>
          <w:szCs w:val="24"/>
          <w:lang w:eastAsia="es-ES"/>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52371E" w:rsidRPr="0052371E" w:rsidRDefault="0052371E" w:rsidP="00ED5339">
      <w:pPr>
        <w:spacing w:line="360" w:lineRule="auto"/>
        <w:ind w:right="49"/>
        <w:contextualSpacing/>
        <w:jc w:val="both"/>
        <w:rPr>
          <w:rFonts w:ascii="Palatino Linotype" w:hAnsi="Palatino Linotype"/>
          <w:sz w:val="24"/>
        </w:rPr>
      </w:pPr>
    </w:p>
    <w:p w:rsidR="00ED5339" w:rsidRPr="00ED5339" w:rsidRDefault="00ED5339" w:rsidP="00721242">
      <w:pPr>
        <w:numPr>
          <w:ilvl w:val="0"/>
          <w:numId w:val="1"/>
        </w:numPr>
        <w:spacing w:line="360" w:lineRule="auto"/>
        <w:ind w:left="0" w:right="49" w:firstLine="0"/>
        <w:contextualSpacing/>
        <w:jc w:val="both"/>
        <w:rPr>
          <w:rFonts w:ascii="Palatino Linotype" w:hAnsi="Palatino Linotype"/>
          <w:sz w:val="24"/>
        </w:rPr>
      </w:pPr>
      <w:r w:rsidRPr="00ED5339">
        <w:rPr>
          <w:rFonts w:ascii="Palatino Linotype" w:hAnsi="Palatino Linotype"/>
          <w:sz w:val="24"/>
        </w:rPr>
        <w:t>La Comisionada Ponente con</w:t>
      </w:r>
      <w:r>
        <w:rPr>
          <w:rFonts w:ascii="Palatino Linotype" w:hAnsi="Palatino Linotype"/>
          <w:sz w:val="24"/>
        </w:rPr>
        <w:t>cluyó</w:t>
      </w:r>
      <w:r w:rsidRPr="00ED5339">
        <w:rPr>
          <w:rFonts w:ascii="Palatino Linotype" w:hAnsi="Palatino Linotype"/>
          <w:sz w:val="24"/>
        </w:rPr>
        <w:t xml:space="preserve"> con su análisis a partir de sus tres supuesto</w:t>
      </w:r>
      <w:r>
        <w:rPr>
          <w:rFonts w:ascii="Palatino Linotype" w:hAnsi="Palatino Linotype"/>
          <w:sz w:val="24"/>
        </w:rPr>
        <w:t>,</w:t>
      </w:r>
      <w:r w:rsidRPr="00ED5339">
        <w:rPr>
          <w:rFonts w:ascii="Palatino Linotype" w:hAnsi="Palatino Linotype"/>
          <w:sz w:val="24"/>
        </w:rPr>
        <w:t xml:space="preserve"> el acto impugnado quedaba sin efecto en razón de que </w:t>
      </w:r>
      <w:r w:rsidRPr="00ED5339">
        <w:rPr>
          <w:rFonts w:ascii="Palatino Linotype" w:eastAsia="Times New Roman" w:hAnsi="Palatino Linotype" w:cs="Arial"/>
          <w:sz w:val="24"/>
          <w:szCs w:val="24"/>
          <w:lang w:eastAsia="es-ES"/>
        </w:rPr>
        <w:t xml:space="preserve">ha sido satisfecha la pretensión de lo pedido o exigido por la parte </w:t>
      </w:r>
      <w:r w:rsidRPr="00ED5339">
        <w:rPr>
          <w:rFonts w:ascii="Palatino Linotype" w:eastAsia="Times New Roman" w:hAnsi="Palatino Linotype" w:cs="Arial"/>
          <w:b/>
          <w:color w:val="000000"/>
          <w:sz w:val="24"/>
          <w:szCs w:val="24"/>
          <w:lang w:eastAsia="es-ES"/>
        </w:rPr>
        <w:t>RECURRENTE</w:t>
      </w:r>
      <w:r w:rsidRPr="00ED5339">
        <w:rPr>
          <w:rFonts w:ascii="Palatino Linotype" w:eastAsia="Times New Roman" w:hAnsi="Palatino Linotype" w:cs="Arial"/>
          <w:b/>
          <w:sz w:val="24"/>
          <w:szCs w:val="24"/>
          <w:lang w:eastAsia="es-ES"/>
        </w:rPr>
        <w:t xml:space="preserve"> </w:t>
      </w:r>
      <w:r w:rsidRPr="00ED5339">
        <w:rPr>
          <w:rFonts w:ascii="Palatino Linotype" w:eastAsia="Times New Roman" w:hAnsi="Palatino Linotype" w:cs="Arial"/>
          <w:sz w:val="24"/>
          <w:szCs w:val="24"/>
          <w:lang w:eastAsia="es-ES"/>
        </w:rPr>
        <w:t xml:space="preserve">de manera que </w:t>
      </w:r>
      <w:r w:rsidRPr="00ED5339">
        <w:rPr>
          <w:rFonts w:ascii="Palatino Linotype" w:eastAsia="Times New Roman" w:hAnsi="Palatino Linotype" w:cs="Arial"/>
          <w:b/>
          <w:sz w:val="24"/>
          <w:szCs w:val="24"/>
          <w:lang w:eastAsia="es-ES"/>
        </w:rPr>
        <w:t xml:space="preserve">EL SUJETO OBLIGADO </w:t>
      </w:r>
      <w:r>
        <w:rPr>
          <w:rFonts w:ascii="Palatino Linotype" w:eastAsia="Times New Roman" w:hAnsi="Palatino Linotype" w:cs="Arial"/>
          <w:sz w:val="24"/>
          <w:szCs w:val="24"/>
          <w:lang w:eastAsia="es-ES"/>
        </w:rPr>
        <w:t>entregó una respuesta que aunque fue</w:t>
      </w:r>
      <w:r w:rsidRPr="00ED5339">
        <w:rPr>
          <w:rFonts w:ascii="Palatino Linotype" w:eastAsia="Times New Roman" w:hAnsi="Palatino Linotype" w:cs="Arial"/>
          <w:sz w:val="24"/>
          <w:szCs w:val="24"/>
          <w:lang w:eastAsia="es-ES"/>
        </w:rPr>
        <w:t xml:space="preserve"> posterior a los términos previstos en la ley, mediante ésta concede la información solicitada</w:t>
      </w:r>
    </w:p>
    <w:p w:rsidR="00ED5339" w:rsidRDefault="00ED5339" w:rsidP="00ED5339">
      <w:pPr>
        <w:pStyle w:val="Prrafodelista"/>
        <w:rPr>
          <w:rFonts w:ascii="Palatino Linotype" w:hAnsi="Palatino Linotype"/>
          <w:sz w:val="24"/>
        </w:rPr>
      </w:pPr>
    </w:p>
    <w:p w:rsidR="00DC2FBB" w:rsidRDefault="00ED5339" w:rsidP="00721242">
      <w:pPr>
        <w:numPr>
          <w:ilvl w:val="0"/>
          <w:numId w:val="1"/>
        </w:numPr>
        <w:spacing w:line="360" w:lineRule="auto"/>
        <w:ind w:left="0" w:right="49" w:firstLine="0"/>
        <w:contextualSpacing/>
        <w:jc w:val="both"/>
        <w:rPr>
          <w:rFonts w:ascii="Palatino Linotype" w:hAnsi="Palatino Linotype"/>
          <w:sz w:val="24"/>
        </w:rPr>
      </w:pPr>
      <w:r>
        <w:rPr>
          <w:rFonts w:ascii="Palatino Linotype" w:hAnsi="Palatino Linotype"/>
          <w:sz w:val="24"/>
        </w:rPr>
        <w:t xml:space="preserve">Sin </w:t>
      </w:r>
      <w:r w:rsidR="00DC2FBB">
        <w:rPr>
          <w:rFonts w:ascii="Palatino Linotype" w:hAnsi="Palatino Linotype"/>
          <w:sz w:val="24"/>
        </w:rPr>
        <w:t xml:space="preserve">embargo, no se comparte el sentido de la resolución en virtud que no se ordenó al </w:t>
      </w:r>
      <w:r w:rsidR="00DC2FBB" w:rsidRPr="00DC2FBB">
        <w:rPr>
          <w:rFonts w:ascii="Palatino Linotype" w:hAnsi="Palatino Linotype"/>
          <w:b/>
          <w:sz w:val="24"/>
        </w:rPr>
        <w:t>SUJETO OBLIGADO</w:t>
      </w:r>
      <w:r w:rsidR="00DC2FBB">
        <w:rPr>
          <w:rFonts w:ascii="Palatino Linotype" w:hAnsi="Palatino Linotype"/>
          <w:sz w:val="24"/>
        </w:rPr>
        <w:t xml:space="preserve"> la entrega del Acuerdo de Inexistencia de la información que le fue requerida, a pesar de que el mismo asume que la información corresponde a sus atribuciones, competencia y facultades, con lo cual se presume la existencia de la información, tal como establece el artículo 19 de la Ley de la materia.</w:t>
      </w:r>
    </w:p>
    <w:p w:rsidR="00DC2FBB" w:rsidRDefault="00DC2FBB" w:rsidP="00DC2FBB">
      <w:pPr>
        <w:pStyle w:val="Prrafodelista"/>
        <w:rPr>
          <w:rFonts w:ascii="Palatino Linotype" w:hAnsi="Palatino Linotype"/>
          <w:sz w:val="24"/>
        </w:rPr>
      </w:pPr>
    </w:p>
    <w:p w:rsidR="00DC2FBB" w:rsidRPr="00DC2FBB" w:rsidRDefault="00DC2FBB" w:rsidP="00DC2FBB">
      <w:pPr>
        <w:spacing w:line="360" w:lineRule="auto"/>
        <w:ind w:left="567" w:right="616"/>
        <w:contextualSpacing/>
        <w:jc w:val="both"/>
        <w:rPr>
          <w:rFonts w:ascii="Palatino Linotype" w:hAnsi="Palatino Linotype"/>
          <w:i/>
          <w:lang w:val="es-ES_tradnl"/>
        </w:rPr>
      </w:pPr>
      <w:r w:rsidRPr="00DC2FBB">
        <w:rPr>
          <w:rFonts w:ascii="Palatino Linotype" w:hAnsi="Palatino Linotype"/>
          <w:b/>
          <w:i/>
          <w:sz w:val="24"/>
          <w:lang w:val="es-ES_tradnl"/>
        </w:rPr>
        <w:lastRenderedPageBreak/>
        <w:t>Artículo 19</w:t>
      </w:r>
      <w:r w:rsidRPr="00DC2FBB">
        <w:rPr>
          <w:rFonts w:ascii="Palatino Linotype" w:hAnsi="Palatino Linotype"/>
          <w:i/>
          <w:sz w:val="24"/>
          <w:lang w:val="es-ES_tradnl"/>
        </w:rPr>
        <w:t xml:space="preserve">. </w:t>
      </w:r>
      <w:r w:rsidRPr="00DC2FBB">
        <w:rPr>
          <w:rFonts w:ascii="Palatino Linotype" w:hAnsi="Palatino Linotype"/>
          <w:b/>
          <w:i/>
          <w:lang w:val="es-ES_tradnl"/>
        </w:rPr>
        <w:t>Se presume que la información debe existir si se refiere a las facultades, competencias y funciones</w:t>
      </w:r>
      <w:r w:rsidRPr="00DC2FBB">
        <w:rPr>
          <w:rFonts w:ascii="Palatino Linotype" w:hAnsi="Palatino Linotype"/>
          <w:i/>
          <w:lang w:val="es-ES_tradnl"/>
        </w:rPr>
        <w:t xml:space="preserve"> que los ordenamientos jurídicos aplicables </w:t>
      </w:r>
      <w:r w:rsidRPr="00DC2FBB">
        <w:rPr>
          <w:rFonts w:ascii="Palatino Linotype" w:hAnsi="Palatino Linotype"/>
          <w:b/>
          <w:i/>
          <w:lang w:val="es-ES_tradnl"/>
        </w:rPr>
        <w:t>otorgan a los sujetos obligados</w:t>
      </w:r>
      <w:r w:rsidRPr="00DC2FBB">
        <w:rPr>
          <w:rFonts w:ascii="Palatino Linotype" w:hAnsi="Palatino Linotype"/>
          <w:i/>
          <w:lang w:val="es-ES_tradnl"/>
        </w:rPr>
        <w:t>.</w:t>
      </w:r>
    </w:p>
    <w:p w:rsidR="00DC2FBB" w:rsidRPr="00DC2FBB" w:rsidRDefault="00DC2FBB" w:rsidP="00DC2FBB">
      <w:pPr>
        <w:spacing w:line="360" w:lineRule="auto"/>
        <w:ind w:left="567" w:right="616"/>
        <w:contextualSpacing/>
        <w:jc w:val="both"/>
        <w:rPr>
          <w:rFonts w:ascii="Palatino Linotype" w:hAnsi="Palatino Linotype"/>
          <w:i/>
          <w:lang w:val="es-ES_tradnl"/>
        </w:rPr>
      </w:pPr>
      <w:r w:rsidRPr="00DC2FBB">
        <w:rPr>
          <w:rFonts w:ascii="Palatino Linotype" w:hAnsi="Palatino Linotype"/>
          <w:i/>
          <w:lang w:val="es-ES_tradnl"/>
        </w:rPr>
        <w:t>…</w:t>
      </w:r>
    </w:p>
    <w:p w:rsidR="00DC2FBB" w:rsidRPr="00DC2FBB" w:rsidRDefault="00DC2FBB" w:rsidP="00DC2FBB">
      <w:pPr>
        <w:spacing w:line="360" w:lineRule="auto"/>
        <w:ind w:left="567" w:right="616"/>
        <w:contextualSpacing/>
        <w:jc w:val="both"/>
        <w:rPr>
          <w:rFonts w:ascii="Palatino Linotype" w:hAnsi="Palatino Linotype"/>
          <w:b/>
          <w:i/>
          <w:sz w:val="24"/>
          <w:u w:val="single"/>
          <w:lang w:val="es-ES_tradnl"/>
        </w:rPr>
      </w:pPr>
      <w:r w:rsidRPr="00DC2FBB">
        <w:rPr>
          <w:rFonts w:ascii="Palatino Linotype" w:hAnsi="Palatino Linotype"/>
          <w:b/>
          <w:i/>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w:t>
      </w:r>
      <w:r w:rsidRPr="00DC2FBB">
        <w:rPr>
          <w:rFonts w:ascii="Palatino Linotype" w:hAnsi="Palatino Linotype"/>
          <w:b/>
          <w:i/>
          <w:sz w:val="24"/>
          <w:u w:val="single"/>
        </w:rPr>
        <w:t xml:space="preserve"> del por qué no obra en sus archivos.</w:t>
      </w:r>
    </w:p>
    <w:p w:rsidR="00DC2FBB" w:rsidRDefault="00DC2FBB" w:rsidP="00DC2FBB">
      <w:pPr>
        <w:spacing w:line="360" w:lineRule="auto"/>
        <w:ind w:right="49"/>
        <w:contextualSpacing/>
        <w:jc w:val="both"/>
        <w:rPr>
          <w:rFonts w:ascii="Palatino Linotype" w:hAnsi="Palatino Linotype"/>
          <w:sz w:val="24"/>
        </w:rPr>
      </w:pPr>
    </w:p>
    <w:p w:rsidR="00BA79EA" w:rsidRPr="00BA79EA" w:rsidRDefault="00BA79EA" w:rsidP="00DC2FBB">
      <w:pPr>
        <w:numPr>
          <w:ilvl w:val="0"/>
          <w:numId w:val="1"/>
        </w:numPr>
        <w:spacing w:after="0" w:line="360" w:lineRule="auto"/>
        <w:ind w:left="0" w:right="49" w:firstLine="0"/>
        <w:contextualSpacing/>
        <w:jc w:val="both"/>
        <w:rPr>
          <w:rFonts w:ascii="Palatino Linotype" w:eastAsia="MS Mincho" w:hAnsi="Palatino Linotype" w:cstheme="majorBidi"/>
          <w:i/>
          <w:sz w:val="24"/>
          <w:szCs w:val="24"/>
        </w:rPr>
      </w:pPr>
      <w:r>
        <w:rPr>
          <w:rFonts w:ascii="Palatino Linotype" w:eastAsia="MS Mincho" w:hAnsi="Palatino Linotype" w:cstheme="majorBidi"/>
          <w:sz w:val="24"/>
          <w:szCs w:val="24"/>
          <w:lang w:val="es-ES_tradnl"/>
        </w:rPr>
        <w:t xml:space="preserve">Por lo anterior la Comisionada Ponente debió de Modificar la respuesta y ordenar el acuerdo de la inexistencia mediante el cual el </w:t>
      </w:r>
      <w:r w:rsidR="00DC2FBB" w:rsidRPr="005E6AB7">
        <w:rPr>
          <w:rFonts w:ascii="Palatino Linotype" w:eastAsia="MS Mincho" w:hAnsi="Palatino Linotype" w:cstheme="majorBidi"/>
          <w:b/>
          <w:sz w:val="24"/>
          <w:szCs w:val="24"/>
          <w:lang w:val="es-ES_tradnl"/>
        </w:rPr>
        <w:t>SUJETO OBIGADO</w:t>
      </w:r>
      <w:r w:rsidR="00DC2FBB" w:rsidRPr="005E6AB7">
        <w:rPr>
          <w:rFonts w:ascii="Palatino Linotype" w:eastAsia="MS Mincho" w:hAnsi="Palatino Linotype" w:cstheme="majorBidi"/>
          <w:sz w:val="24"/>
          <w:szCs w:val="24"/>
          <w:lang w:val="es-ES_tradnl"/>
        </w:rPr>
        <w:t xml:space="preserve"> </w:t>
      </w:r>
      <w:r w:rsidR="00DC2FBB">
        <w:rPr>
          <w:rFonts w:ascii="Palatino Linotype" w:eastAsia="MS Mincho" w:hAnsi="Palatino Linotype" w:cstheme="majorBidi"/>
          <w:sz w:val="24"/>
          <w:szCs w:val="24"/>
          <w:lang w:val="es-ES_tradnl"/>
        </w:rPr>
        <w:t xml:space="preserve">funde y motive las razones o circunstancias por las cuales no se generó la información </w:t>
      </w:r>
      <w:r>
        <w:rPr>
          <w:rFonts w:ascii="Palatino Linotype" w:eastAsia="MS Mincho" w:hAnsi="Palatino Linotype" w:cstheme="majorBidi"/>
          <w:sz w:val="24"/>
          <w:szCs w:val="24"/>
          <w:lang w:val="es-ES_tradnl"/>
        </w:rPr>
        <w:t xml:space="preserve">y así poder darle certeza jurídica al recurrente del por qué no se cuenta la información. </w:t>
      </w:r>
    </w:p>
    <w:p w:rsidR="00DC2FBB" w:rsidRDefault="00DC2FBB" w:rsidP="00BA79EA">
      <w:pPr>
        <w:spacing w:line="360" w:lineRule="auto"/>
        <w:ind w:right="49"/>
        <w:contextualSpacing/>
        <w:jc w:val="both"/>
        <w:rPr>
          <w:rFonts w:ascii="Palatino Linotype" w:hAnsi="Palatino Linotype"/>
          <w:sz w:val="24"/>
        </w:rPr>
      </w:pPr>
    </w:p>
    <w:p w:rsidR="00101BED" w:rsidRPr="00101BED" w:rsidRDefault="00101BED" w:rsidP="00721242">
      <w:pPr>
        <w:numPr>
          <w:ilvl w:val="0"/>
          <w:numId w:val="1"/>
        </w:numPr>
        <w:spacing w:line="360" w:lineRule="auto"/>
        <w:ind w:left="0" w:right="49" w:firstLine="0"/>
        <w:contextualSpacing/>
        <w:jc w:val="both"/>
        <w:rPr>
          <w:rFonts w:ascii="Palatino Linotype" w:hAnsi="Palatino Linotype"/>
          <w:sz w:val="24"/>
        </w:rPr>
      </w:pPr>
      <w:r w:rsidRPr="00101BED">
        <w:rPr>
          <w:rFonts w:ascii="Palatino Linotype" w:hAnsi="Palatino Linotype"/>
          <w:sz w:val="24"/>
        </w:rPr>
        <w:t xml:space="preserve">Es así que la postura que adoptó el </w:t>
      </w:r>
      <w:r w:rsidR="00BA79EA">
        <w:rPr>
          <w:rFonts w:ascii="Palatino Linotype" w:hAnsi="Palatino Linotype"/>
          <w:sz w:val="24"/>
        </w:rPr>
        <w:t xml:space="preserve">Comisionada </w:t>
      </w:r>
      <w:r w:rsidRPr="00101BED">
        <w:rPr>
          <w:rFonts w:ascii="Palatino Linotype" w:hAnsi="Palatino Linotype"/>
          <w:sz w:val="24"/>
        </w:rPr>
        <w:t>Ponente no fue la correcta, puesto que el “pronunciamiento simple” únicamente obliga a los Sujetos Obligados a referir si cuentan o no con la información, más no a explicar de manera clara y precisa las razones por las cuales no cuenta con la información solicitada.</w:t>
      </w:r>
    </w:p>
    <w:p w:rsidR="00101BED" w:rsidRPr="00101BED" w:rsidRDefault="00101BED" w:rsidP="00721242">
      <w:pPr>
        <w:contextualSpacing/>
        <w:rPr>
          <w:rFonts w:ascii="Palatino Linotype" w:hAnsi="Palatino Linotype"/>
          <w:sz w:val="24"/>
        </w:rPr>
      </w:pPr>
    </w:p>
    <w:p w:rsidR="00101BED" w:rsidRPr="00101BED" w:rsidRDefault="00101BED" w:rsidP="00721242">
      <w:pPr>
        <w:numPr>
          <w:ilvl w:val="0"/>
          <w:numId w:val="1"/>
        </w:numPr>
        <w:spacing w:line="360" w:lineRule="auto"/>
        <w:ind w:left="0" w:right="49" w:firstLine="0"/>
        <w:contextualSpacing/>
        <w:jc w:val="both"/>
        <w:rPr>
          <w:rFonts w:ascii="Palatino Linotype" w:hAnsi="Palatino Linotype"/>
          <w:sz w:val="24"/>
        </w:rPr>
      </w:pPr>
      <w:r w:rsidRPr="00101BED">
        <w:rPr>
          <w:rFonts w:ascii="Palatino Linotype" w:hAnsi="Palatino Linotype"/>
          <w:sz w:val="24"/>
        </w:rPr>
        <w:t>Tomando en consideración las actuaciones del presente caso en particular, lo idóneo debió ser que el Sujeto Obligado a través del Comité de Transparencia emitiera el acuerdo de inexistencia,</w:t>
      </w:r>
    </w:p>
    <w:p w:rsidR="00101BED" w:rsidRPr="00101BED" w:rsidRDefault="00101BED" w:rsidP="00721242">
      <w:pPr>
        <w:contextualSpacing/>
        <w:rPr>
          <w:rFonts w:ascii="Palatino Linotype" w:hAnsi="Palatino Linotype" w:cs="Arial"/>
          <w:sz w:val="24"/>
        </w:rPr>
      </w:pPr>
    </w:p>
    <w:p w:rsidR="00101BED" w:rsidRPr="00101BED" w:rsidRDefault="00101BED" w:rsidP="00721242">
      <w:pPr>
        <w:contextualSpacing/>
        <w:rPr>
          <w:rFonts w:ascii="Palatino Linotype" w:hAnsi="Palatino Linotype" w:cs="Arial"/>
          <w:sz w:val="24"/>
        </w:rPr>
      </w:pPr>
    </w:p>
    <w:p w:rsidR="00101BED" w:rsidRPr="00101BED" w:rsidRDefault="00101BED" w:rsidP="00721242">
      <w:pPr>
        <w:keepNext/>
        <w:keepLines/>
        <w:numPr>
          <w:ilvl w:val="0"/>
          <w:numId w:val="2"/>
        </w:numPr>
        <w:spacing w:before="240" w:after="0"/>
        <w:ind w:left="0" w:firstLine="0"/>
        <w:outlineLvl w:val="0"/>
        <w:rPr>
          <w:rFonts w:ascii="Palatino Linotype" w:eastAsiaTheme="majorEastAsia" w:hAnsi="Palatino Linotype" w:cstheme="majorBidi"/>
          <w:b/>
          <w:sz w:val="24"/>
        </w:rPr>
      </w:pPr>
      <w:bookmarkStart w:id="3" w:name="_Toc269541"/>
      <w:r w:rsidRPr="00101BED">
        <w:rPr>
          <w:rFonts w:ascii="Palatino Linotype" w:eastAsiaTheme="majorEastAsia" w:hAnsi="Palatino Linotype" w:cstheme="majorBidi"/>
          <w:b/>
          <w:sz w:val="24"/>
          <w:szCs w:val="32"/>
        </w:rPr>
        <w:t>De la Inexistencia de la información.</w:t>
      </w:r>
      <w:bookmarkEnd w:id="3"/>
    </w:p>
    <w:p w:rsidR="00101BED" w:rsidRPr="00101BED" w:rsidRDefault="00101BED" w:rsidP="00721242">
      <w:pPr>
        <w:spacing w:line="360" w:lineRule="auto"/>
        <w:jc w:val="both"/>
        <w:rPr>
          <w:rFonts w:ascii="Palatino Linotype" w:hAnsi="Palatino Linotype" w:cs="Arial"/>
          <w:b/>
        </w:rPr>
      </w:pPr>
    </w:p>
    <w:p w:rsidR="00101BED" w:rsidRPr="00101BED" w:rsidRDefault="00BA79EA" w:rsidP="00721242">
      <w:pPr>
        <w:numPr>
          <w:ilvl w:val="0"/>
          <w:numId w:val="1"/>
        </w:numPr>
        <w:spacing w:after="0" w:line="360" w:lineRule="auto"/>
        <w:ind w:left="0" w:firstLine="0"/>
        <w:contextualSpacing/>
        <w:jc w:val="both"/>
        <w:rPr>
          <w:rFonts w:ascii="Palatino Linotype" w:hAnsi="Palatino Linotype" w:cs="Arial"/>
          <w:sz w:val="24"/>
        </w:rPr>
      </w:pPr>
      <w:r>
        <w:rPr>
          <w:rFonts w:ascii="Palatino Linotype" w:hAnsi="Palatino Linotype" w:cs="Arial"/>
          <w:sz w:val="24"/>
        </w:rPr>
        <w:t xml:space="preserve">El </w:t>
      </w:r>
      <w:r w:rsidRPr="00BA79EA">
        <w:rPr>
          <w:rFonts w:ascii="Palatino Linotype" w:hAnsi="Palatino Linotype" w:cs="Arial"/>
          <w:b/>
          <w:sz w:val="24"/>
        </w:rPr>
        <w:t>SUJETO OBLIGADO</w:t>
      </w:r>
      <w:r w:rsidRPr="00101BED">
        <w:rPr>
          <w:rFonts w:ascii="Palatino Linotype" w:hAnsi="Palatino Linotype" w:cs="Arial"/>
          <w:sz w:val="24"/>
        </w:rPr>
        <w:t xml:space="preserve"> </w:t>
      </w:r>
      <w:r>
        <w:rPr>
          <w:rFonts w:ascii="Palatino Linotype" w:hAnsi="Palatino Linotype" w:cs="Arial"/>
          <w:sz w:val="24"/>
        </w:rPr>
        <w:t>refirió que no cuenta</w:t>
      </w:r>
      <w:r w:rsidR="00101BED" w:rsidRPr="00101BED">
        <w:rPr>
          <w:rFonts w:ascii="Palatino Linotype" w:hAnsi="Palatino Linotype" w:cs="Arial"/>
          <w:sz w:val="24"/>
        </w:rPr>
        <w:t xml:space="preserve"> con la información </w:t>
      </w:r>
      <w:r>
        <w:rPr>
          <w:rFonts w:ascii="Palatino Linotype" w:hAnsi="Palatino Linotype" w:cs="Arial"/>
          <w:sz w:val="24"/>
        </w:rPr>
        <w:t xml:space="preserve"> a pesar de que esta forma parte de sus atribuciones,</w:t>
      </w:r>
      <w:r w:rsidR="00101BED" w:rsidRPr="00101BED">
        <w:rPr>
          <w:rFonts w:ascii="Palatino Linotype" w:hAnsi="Palatino Linotype" w:cs="Arial"/>
          <w:sz w:val="24"/>
        </w:rPr>
        <w:t xml:space="preserve"> </w:t>
      </w:r>
      <w:r>
        <w:rPr>
          <w:rFonts w:ascii="Palatino Linotype" w:hAnsi="Palatino Linotype" w:cs="Arial"/>
          <w:sz w:val="24"/>
        </w:rPr>
        <w:t>siendo que éste debió</w:t>
      </w:r>
      <w:r w:rsidR="00101BED" w:rsidRPr="00101BED">
        <w:rPr>
          <w:rFonts w:ascii="Palatino Linotype" w:hAnsi="Palatino Linotype" w:cs="Arial"/>
          <w:sz w:val="24"/>
        </w:rPr>
        <w:t xml:space="preserve"> </w:t>
      </w:r>
      <w:r>
        <w:rPr>
          <w:rFonts w:ascii="Palatino Linotype" w:hAnsi="Palatino Linotype" w:cs="Arial"/>
          <w:sz w:val="24"/>
        </w:rPr>
        <w:t xml:space="preserve">de </w:t>
      </w:r>
      <w:r w:rsidR="00101BED" w:rsidRPr="00101BED">
        <w:rPr>
          <w:rFonts w:ascii="Palatino Linotype" w:hAnsi="Palatino Linotype" w:cs="Arial"/>
          <w:sz w:val="24"/>
        </w:rPr>
        <w:t>elaborar el acuerdo que contenga la declaratoria de la inexistencia en el que se expongan las razones por las que se buscó la información, las áreas en las que se instruyó la búsqueda, los criterios y los métodos de búsqueda utilizados, así como las respuestas otorgadas por los Servidores Públicos Habilitados y, en general, todas aquéllas circunstancias de modo, tiempo y lugar que se tomaron en cuenta para determinar que la información requerida, no obra en sus archivos. De este modo, el particular puede tener la certeza de que se hizo una búsqueda exhaustiva y, de que, se le dio la atención adecuada a su solicitud.</w:t>
      </w:r>
    </w:p>
    <w:p w:rsidR="00101BED" w:rsidRPr="00101BED" w:rsidRDefault="00101BED" w:rsidP="00721242">
      <w:pPr>
        <w:spacing w:after="0" w:line="360" w:lineRule="auto"/>
        <w:contextualSpacing/>
        <w:jc w:val="both"/>
        <w:rPr>
          <w:rFonts w:ascii="Palatino Linotype" w:hAnsi="Palatino Linotype" w:cs="Arial"/>
          <w:sz w:val="24"/>
        </w:rPr>
      </w:pPr>
    </w:p>
    <w:p w:rsidR="00101BED" w:rsidRPr="00101BED" w:rsidRDefault="00101BED" w:rsidP="00721242">
      <w:pPr>
        <w:numPr>
          <w:ilvl w:val="0"/>
          <w:numId w:val="1"/>
        </w:numPr>
        <w:spacing w:after="0" w:line="360" w:lineRule="auto"/>
        <w:ind w:left="0" w:firstLine="0"/>
        <w:contextualSpacing/>
        <w:jc w:val="both"/>
        <w:rPr>
          <w:rFonts w:ascii="Palatino Linotype" w:hAnsi="Palatino Linotype" w:cs="Arial"/>
          <w:sz w:val="24"/>
        </w:rPr>
      </w:pPr>
      <w:r w:rsidRPr="00101BED">
        <w:rPr>
          <w:rFonts w:ascii="Palatino Linotype" w:hAnsi="Palatino Linotype" w:cs="Arial"/>
          <w:sz w:val="24"/>
        </w:rPr>
        <w:t>En tal caso, la declaratoria deberá realizarse conforme a lo dispuesto en los artículos 19, 47,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101BED" w:rsidRPr="00101BED" w:rsidRDefault="00101BED" w:rsidP="00BA79EA">
      <w:pPr>
        <w:ind w:left="567" w:right="616"/>
        <w:contextualSpacing/>
        <w:rPr>
          <w:rFonts w:ascii="Palatino Linotype" w:hAnsi="Palatino Linotype" w:cs="Arial"/>
        </w:rPr>
      </w:pP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 xml:space="preserve">“Artículo 19. Se presume que la información debe existir si se refiere a las facultades, competencias y funciones que los ordenamientos jurídicos aplicables otorgan a los sujetos obligados. </w:t>
      </w:r>
    </w:p>
    <w:p w:rsidR="00101BED" w:rsidRPr="00101BED" w:rsidRDefault="00101BED" w:rsidP="00BA79EA">
      <w:pPr>
        <w:spacing w:line="360" w:lineRule="auto"/>
        <w:ind w:left="567" w:right="616"/>
        <w:jc w:val="both"/>
        <w:rPr>
          <w:rFonts w:ascii="Palatino Linotype" w:hAnsi="Palatino Linotype" w:cs="Arial"/>
        </w:rPr>
      </w:pPr>
      <w:r w:rsidRPr="00101BED">
        <w:rPr>
          <w:rFonts w:ascii="Palatino Linotype" w:hAnsi="Palatino Linotype" w:cs="Arial"/>
        </w:rPr>
        <w:lastRenderedPageBreak/>
        <w:t>…</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 xml:space="preserve">Si el sujeto obligado, en el ejercicio de sus atribuciones, debía generar, poseer o administrar la información, pero ésta no se encuentra, el Comité de transparencia deberá emitir un acuerdo de </w:t>
      </w:r>
      <w:r w:rsidRPr="00101BED">
        <w:rPr>
          <w:rFonts w:ascii="Palatino Linotype" w:hAnsi="Palatino Linotype" w:cs="Arial"/>
          <w:b/>
          <w:i/>
        </w:rPr>
        <w:t>inexistencia, debidamente</w:t>
      </w:r>
      <w:r w:rsidRPr="00101BED">
        <w:rPr>
          <w:rFonts w:ascii="Palatino Linotype" w:hAnsi="Palatino Linotype" w:cs="Arial"/>
          <w:i/>
        </w:rPr>
        <w:t xml:space="preserve"> fundado y motivado, en el que detalle las razones del por qué no obra en sus archivos.</w:t>
      </w:r>
    </w:p>
    <w:p w:rsidR="00101BED" w:rsidRPr="00101BED" w:rsidRDefault="00101BED" w:rsidP="00BA79EA">
      <w:pPr>
        <w:spacing w:line="360" w:lineRule="auto"/>
        <w:ind w:left="567" w:right="616"/>
        <w:jc w:val="both"/>
        <w:rPr>
          <w:rFonts w:ascii="Palatino Linotype" w:hAnsi="Palatino Linotype" w:cs="Arial"/>
          <w:i/>
        </w:rPr>
      </w:pP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Artículo 47. El Comité de Transparencia será la autoridad máxima al interior del sujeto obligado en materia del derecho de acceso a la información.</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El Comité se reunirá en sesión ordinaria o extraordinaria las veces que estime necesario. El tipo de sesión se precisará en la convocatoria emitida.</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Los integrantes del Comité de Transparencia tendrán acceso a la información para determinar su clasificación, conforme a la normatividad aplicable previamente establecida por los sujetos obligados para el resguardo o salvaguarda de la información.</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En las sesiones y trabajos del Comité, podrán participar como invitados permanentes, los representantes de las áreas que decida el Comité, y contará con derecho de voz, pero no voto.</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lastRenderedPageBreak/>
        <w:t>Los titulares de las unidades administrativas que propongan la reserva, confidencialidad o declaren la inexistencia de información, acudirán a las sesiones de dicho Comité donde se discuta la propuesta correspondiente.</w:t>
      </w:r>
    </w:p>
    <w:p w:rsidR="00101BED" w:rsidRPr="00101BED" w:rsidRDefault="00101BED" w:rsidP="00BA79EA">
      <w:pPr>
        <w:spacing w:line="360" w:lineRule="auto"/>
        <w:ind w:left="567" w:right="616"/>
        <w:jc w:val="both"/>
        <w:rPr>
          <w:rFonts w:ascii="Palatino Linotype" w:hAnsi="Palatino Linotype" w:cs="Arial"/>
          <w:i/>
        </w:rPr>
      </w:pP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Artículo 49. Los Comités de Transparencia tendrán las siguientes atribuciones:</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II. Confirmar, modificar o revocar las determinaciones que en materia de ampliación del plazo de respuesta, clasificación de la información y declaración de inexistencia o de incompetencia realicen los titulares de las áreas de los sujetos obligados;</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XIII. Dictaminar las declaratorias de inexistencia de la información que les remitan las unidades administrativas y resolver en consecuencia;</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I. Analizará el caso y tomará las medidas necesarias para localizar la información;</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II. Expedirá una resolución que confirme la inexistencia del documento;</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lastRenderedPageBreak/>
        <w:t>IV. Notificará al órgano interno de control o equivalente del sujeto obligado quien, en su caso, deberá iniciar el procedimiento de responsabilidad administrativa que corresponda.</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La Unidad de Transparencia deberá notificarlo al solicitante por escrito, en un plazo que no exceda de quince días hábiles contados a partir del día siguiente a la presentación de la solicitud.</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Este plazo podrá ampliarse hasta por otros siete días hábiles, siempre que existan razones para ello, debiendo notificarse por escrito al solicitante.</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Artículo 169. Cuando la información no se encuentre en los archivos del sujeto obligado, el Comité de Transparencia:</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I. Analizará el caso y tomará las medidas necesarias para localizar la información;</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II. Expedirá una resolución que confirme la inexistencia del documento;</w:t>
      </w:r>
    </w:p>
    <w:p w:rsidR="00101BED" w:rsidRPr="00101BED" w:rsidRDefault="00101BED" w:rsidP="00BA79EA">
      <w:pPr>
        <w:spacing w:line="360" w:lineRule="auto"/>
        <w:ind w:left="567" w:right="616"/>
        <w:jc w:val="both"/>
        <w:rPr>
          <w:rFonts w:ascii="Palatino Linotype" w:hAnsi="Palatino Linotype" w:cs="Arial"/>
          <w:i/>
        </w:rPr>
      </w:pPr>
      <w:r w:rsidRPr="00101BED">
        <w:rPr>
          <w:rFonts w:ascii="Palatino Linotype" w:hAnsi="Palatino Linotype" w:cs="Arial"/>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101BED" w:rsidRPr="00101BED" w:rsidRDefault="00101BED" w:rsidP="00BA79EA">
      <w:pPr>
        <w:spacing w:line="360" w:lineRule="auto"/>
        <w:ind w:left="567" w:right="709"/>
        <w:jc w:val="both"/>
        <w:rPr>
          <w:rFonts w:ascii="Palatino Linotype" w:hAnsi="Palatino Linotype" w:cs="Arial"/>
          <w:i/>
        </w:rPr>
      </w:pPr>
      <w:r w:rsidRPr="00101BED">
        <w:rPr>
          <w:rFonts w:ascii="Palatino Linotype" w:hAnsi="Palatino Linotype" w:cs="Arial"/>
          <w:i/>
        </w:rPr>
        <w:t>IV. Notificará al órgano interno de control o equivalente del sujeto obligado quien, en su caso, deberá iniciar el procedimiento de responsabilidad administrativa que corresponda.</w:t>
      </w:r>
    </w:p>
    <w:p w:rsidR="00101BED" w:rsidRPr="00101BED" w:rsidRDefault="00101BED" w:rsidP="00BA79EA">
      <w:pPr>
        <w:spacing w:line="360" w:lineRule="auto"/>
        <w:ind w:left="567" w:right="709"/>
        <w:jc w:val="both"/>
        <w:rPr>
          <w:rFonts w:ascii="Palatino Linotype" w:hAnsi="Palatino Linotype" w:cs="Arial"/>
          <w:i/>
        </w:rPr>
      </w:pPr>
      <w:r w:rsidRPr="00101BED">
        <w:rPr>
          <w:rFonts w:ascii="Palatino Linotype" w:hAnsi="Palatino Linotype" w:cs="Arial"/>
          <w:i/>
        </w:rPr>
        <w:lastRenderedPageBreak/>
        <w:t>La Unidad de Transparencia deberá notificarlo al solicitante por escrito, en un plazo que no exceda de quince días hábiles contados a partir del día siguiente a la presentación de la solicitud.</w:t>
      </w:r>
    </w:p>
    <w:p w:rsidR="00101BED" w:rsidRPr="00101BED" w:rsidRDefault="00101BED" w:rsidP="00BA79EA">
      <w:pPr>
        <w:spacing w:line="360" w:lineRule="auto"/>
        <w:ind w:left="567" w:right="709"/>
        <w:jc w:val="both"/>
        <w:rPr>
          <w:rFonts w:ascii="Palatino Linotype" w:hAnsi="Palatino Linotype" w:cs="Arial"/>
          <w:i/>
        </w:rPr>
      </w:pPr>
      <w:r w:rsidRPr="00101BED">
        <w:rPr>
          <w:rFonts w:ascii="Palatino Linotype" w:hAnsi="Palatino Linotype" w:cs="Arial"/>
          <w:i/>
        </w:rPr>
        <w:t>Este plazo podrá ampliarse hasta por otros siete días hábiles, siempre que existan razones para ello, debiendo notificarse por escrito al solicitante.</w:t>
      </w:r>
    </w:p>
    <w:p w:rsidR="00101BED" w:rsidRPr="00101BED" w:rsidRDefault="00101BED" w:rsidP="00BA79EA">
      <w:pPr>
        <w:spacing w:line="360" w:lineRule="auto"/>
        <w:ind w:left="567" w:right="709"/>
        <w:jc w:val="both"/>
        <w:rPr>
          <w:rFonts w:ascii="Palatino Linotype" w:hAnsi="Palatino Linotype" w:cs="Arial"/>
          <w:i/>
        </w:rPr>
      </w:pPr>
      <w:r w:rsidRPr="00101BED">
        <w:rPr>
          <w:rFonts w:ascii="Palatino Linotype" w:hAnsi="Palatino Linotype" w:cs="Arial"/>
          <w:i/>
        </w:rPr>
        <w:t>Artículo 170.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101BED" w:rsidRPr="00101BED" w:rsidRDefault="00101BED" w:rsidP="00BA79EA">
      <w:pPr>
        <w:spacing w:line="360" w:lineRule="auto"/>
        <w:ind w:left="567" w:right="709"/>
        <w:jc w:val="both"/>
        <w:rPr>
          <w:rFonts w:ascii="Palatino Linotype" w:hAnsi="Palatino Linotype" w:cs="Arial"/>
          <w:i/>
        </w:rPr>
      </w:pPr>
      <w:r w:rsidRPr="00101BED">
        <w:rPr>
          <w:rFonts w:ascii="Palatino Linotype" w:hAnsi="Palatino Linotype" w:cs="Arial"/>
          <w:i/>
        </w:rPr>
        <w:t>(Énfasis añadido)</w:t>
      </w:r>
    </w:p>
    <w:p w:rsidR="00101BED" w:rsidRPr="00101BED" w:rsidRDefault="00101BED" w:rsidP="00BA79EA">
      <w:pPr>
        <w:spacing w:line="360" w:lineRule="auto"/>
        <w:ind w:left="567"/>
        <w:jc w:val="both"/>
        <w:rPr>
          <w:rFonts w:ascii="Palatino Linotype" w:hAnsi="Palatino Linotype" w:cs="Arial"/>
        </w:rPr>
      </w:pPr>
    </w:p>
    <w:p w:rsidR="00101BED" w:rsidRDefault="00101BED" w:rsidP="00721242">
      <w:pPr>
        <w:numPr>
          <w:ilvl w:val="0"/>
          <w:numId w:val="1"/>
        </w:numPr>
        <w:spacing w:after="0" w:line="360" w:lineRule="auto"/>
        <w:ind w:left="0" w:firstLine="0"/>
        <w:contextualSpacing/>
        <w:jc w:val="both"/>
        <w:rPr>
          <w:rFonts w:ascii="Palatino Linotype" w:hAnsi="Palatino Linotype" w:cs="Arial"/>
          <w:sz w:val="24"/>
        </w:rPr>
      </w:pPr>
      <w:r w:rsidRPr="00101BED">
        <w:rPr>
          <w:rFonts w:ascii="Palatino Linotype" w:hAnsi="Palatino Linotype" w:cs="Arial"/>
          <w:sz w:val="24"/>
        </w:rPr>
        <w:t xml:space="preserve">En observancia a lo anterior,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además, que resultan aplicables los criterios de interpretación en el orden administrativo número 0003-11 y 004-11 emitidos por </w:t>
      </w:r>
      <w:r w:rsidRPr="00101BED">
        <w:rPr>
          <w:rFonts w:ascii="Palatino Linotype" w:hAnsi="Palatino Linotype" w:cs="Arial"/>
          <w:sz w:val="24"/>
        </w:rPr>
        <w:lastRenderedPageBreak/>
        <w:t>Acuerdo del Pleno del Instituto de Transparencia y Acceso a la Información Pública del Estado de México y Municipios, que a la letra dicen:</w:t>
      </w:r>
    </w:p>
    <w:p w:rsidR="00BA79EA" w:rsidRPr="00101BED" w:rsidRDefault="00BA79EA" w:rsidP="00BA79EA">
      <w:pPr>
        <w:spacing w:after="0" w:line="360" w:lineRule="auto"/>
        <w:contextualSpacing/>
        <w:jc w:val="both"/>
        <w:rPr>
          <w:rFonts w:ascii="Palatino Linotype" w:hAnsi="Palatino Linotype" w:cs="Arial"/>
          <w:sz w:val="24"/>
        </w:rPr>
      </w:pPr>
    </w:p>
    <w:p w:rsidR="00101BED" w:rsidRPr="00101BED" w:rsidRDefault="00101BED" w:rsidP="00BA79EA">
      <w:pPr>
        <w:tabs>
          <w:tab w:val="left" w:pos="567"/>
        </w:tabs>
        <w:spacing w:line="360" w:lineRule="auto"/>
        <w:ind w:left="567" w:right="616"/>
        <w:jc w:val="center"/>
        <w:rPr>
          <w:rFonts w:ascii="Palatino Linotype" w:hAnsi="Palatino Linotype" w:cs="Arial"/>
          <w:i/>
        </w:rPr>
      </w:pPr>
      <w:r w:rsidRPr="00101BED">
        <w:rPr>
          <w:rFonts w:ascii="Palatino Linotype" w:hAnsi="Palatino Linotype" w:cs="Arial"/>
          <w:i/>
        </w:rPr>
        <w:t>“</w:t>
      </w:r>
      <w:r w:rsidRPr="00101BED">
        <w:rPr>
          <w:rFonts w:ascii="Palatino Linotype" w:hAnsi="Palatino Linotype" w:cs="Arial"/>
        </w:rPr>
        <w:t>CRITERIO</w:t>
      </w:r>
      <w:r w:rsidRPr="00101BED">
        <w:rPr>
          <w:rFonts w:ascii="Palatino Linotype" w:hAnsi="Palatino Linotype" w:cs="Arial"/>
          <w:i/>
        </w:rPr>
        <w:t xml:space="preserve"> 003-11.</w:t>
      </w:r>
    </w:p>
    <w:p w:rsidR="00101BED" w:rsidRPr="00101BED" w:rsidRDefault="00101BED" w:rsidP="00BA79EA">
      <w:pPr>
        <w:tabs>
          <w:tab w:val="left" w:pos="567"/>
        </w:tabs>
        <w:spacing w:line="360" w:lineRule="auto"/>
        <w:ind w:left="567" w:right="616"/>
        <w:jc w:val="both"/>
        <w:rPr>
          <w:rFonts w:ascii="Palatino Linotype" w:hAnsi="Palatino Linotype" w:cs="Arial"/>
          <w:i/>
        </w:rPr>
      </w:pPr>
      <w:r w:rsidRPr="00101BED">
        <w:rPr>
          <w:rFonts w:ascii="Palatino Linotype" w:hAnsi="Palatino Linotype" w:cs="Arial"/>
          <w:i/>
        </w:rPr>
        <w:t>INEXISTENCIA, CONCEPTO DE, EN MATERIA DE TRANSPARENCIA.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101BED" w:rsidRPr="00101BED" w:rsidRDefault="00101BED" w:rsidP="00BA79EA">
      <w:pPr>
        <w:tabs>
          <w:tab w:val="left" w:pos="567"/>
        </w:tabs>
        <w:spacing w:line="360" w:lineRule="auto"/>
        <w:ind w:left="567" w:right="616"/>
        <w:jc w:val="both"/>
        <w:rPr>
          <w:rFonts w:ascii="Palatino Linotype" w:hAnsi="Palatino Linotype" w:cs="Arial"/>
          <w:i/>
        </w:rPr>
      </w:pPr>
      <w:r w:rsidRPr="00101BED">
        <w:rPr>
          <w:rFonts w:ascii="Palatino Linotype" w:hAnsi="Palatino Linotype" w:cs="Arial"/>
          <w:i/>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101BED" w:rsidRPr="00101BED" w:rsidRDefault="00101BED" w:rsidP="00BA79EA">
      <w:pPr>
        <w:tabs>
          <w:tab w:val="left" w:pos="567"/>
        </w:tabs>
        <w:spacing w:line="360" w:lineRule="auto"/>
        <w:ind w:left="567" w:right="616"/>
        <w:jc w:val="both"/>
        <w:rPr>
          <w:rFonts w:ascii="Palatino Linotype" w:hAnsi="Palatino Linotype" w:cs="Arial"/>
          <w:i/>
        </w:rPr>
      </w:pPr>
      <w:r w:rsidRPr="00101BED">
        <w:rPr>
          <w:rFonts w:ascii="Palatino Linotype" w:hAnsi="Palatino Linotype" w:cs="Arial"/>
          <w:i/>
        </w:rPr>
        <w:t>b) En los casos en que por las atribuciones conferidas al Sujeto Obligado éste debió generar, administrar o poseer la información, pero en incumplimiento a la normatividad respectiva no llevó a cabo ninguna de esas acciones.</w:t>
      </w:r>
    </w:p>
    <w:p w:rsidR="00101BED" w:rsidRPr="00101BED" w:rsidRDefault="00101BED" w:rsidP="00BF3157">
      <w:pPr>
        <w:numPr>
          <w:ilvl w:val="0"/>
          <w:numId w:val="1"/>
        </w:numPr>
        <w:spacing w:after="0" w:line="360" w:lineRule="auto"/>
        <w:ind w:left="0" w:right="49" w:firstLine="0"/>
        <w:contextualSpacing/>
        <w:jc w:val="both"/>
        <w:rPr>
          <w:rFonts w:ascii="Palatino Linotype" w:hAnsi="Palatino Linotype" w:cs="Arial"/>
          <w:sz w:val="24"/>
        </w:rPr>
      </w:pPr>
      <w:r w:rsidRPr="00101BED">
        <w:rPr>
          <w:rFonts w:ascii="Palatino Linotype" w:hAnsi="Palatino Linotype" w:cs="Arial"/>
          <w:sz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101BED" w:rsidRPr="00101BED" w:rsidRDefault="00101BED" w:rsidP="00721242">
      <w:pPr>
        <w:spacing w:after="0" w:line="360" w:lineRule="auto"/>
        <w:ind w:right="616"/>
        <w:contextualSpacing/>
        <w:jc w:val="both"/>
        <w:rPr>
          <w:rFonts w:ascii="Palatino Linotype" w:hAnsi="Palatino Linotype" w:cs="Arial"/>
          <w:sz w:val="24"/>
        </w:rPr>
      </w:pPr>
    </w:p>
    <w:p w:rsidR="00101BED" w:rsidRPr="00101BED" w:rsidRDefault="00101BED" w:rsidP="00BF3157">
      <w:pPr>
        <w:spacing w:line="360" w:lineRule="auto"/>
        <w:ind w:left="567" w:right="616"/>
        <w:jc w:val="center"/>
        <w:rPr>
          <w:rFonts w:ascii="Palatino Linotype" w:hAnsi="Palatino Linotype" w:cs="Arial"/>
          <w:i/>
        </w:rPr>
      </w:pPr>
      <w:r w:rsidRPr="00101BED">
        <w:rPr>
          <w:rFonts w:ascii="Palatino Linotype" w:hAnsi="Palatino Linotype" w:cs="Arial"/>
          <w:i/>
        </w:rPr>
        <w:lastRenderedPageBreak/>
        <w:t>CRITERIO 004/2011</w:t>
      </w:r>
    </w:p>
    <w:p w:rsidR="00101BED" w:rsidRPr="00101BED" w:rsidRDefault="00101BED" w:rsidP="00BF3157">
      <w:pPr>
        <w:spacing w:line="360" w:lineRule="auto"/>
        <w:ind w:left="567" w:right="616"/>
        <w:jc w:val="both"/>
        <w:rPr>
          <w:rFonts w:ascii="Palatino Linotype" w:hAnsi="Palatino Linotype" w:cs="Arial"/>
          <w:i/>
        </w:rPr>
      </w:pPr>
      <w:r w:rsidRPr="00101BED">
        <w:rPr>
          <w:rFonts w:ascii="Palatino Linotype" w:hAnsi="Palatino Linotype" w:cs="Arial"/>
          <w:i/>
        </w:rPr>
        <w:t>INEXISTENCIA. DECLARATORIA DE LA. ALCANCES Y PROCEDIMIENTOS.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101BED" w:rsidRPr="00101BED" w:rsidRDefault="00101BED" w:rsidP="00BF3157">
      <w:pPr>
        <w:spacing w:line="360" w:lineRule="auto"/>
        <w:ind w:left="567" w:right="616"/>
        <w:jc w:val="both"/>
        <w:rPr>
          <w:rFonts w:ascii="Palatino Linotype" w:hAnsi="Palatino Linotype" w:cs="Arial"/>
          <w:i/>
        </w:rPr>
      </w:pPr>
      <w:r w:rsidRPr="00101BED">
        <w:rPr>
          <w:rFonts w:ascii="Palatino Linotype" w:hAnsi="Palatino Linotype" w:cs="Arial"/>
          <w:i/>
        </w:rPr>
        <w:t>Bajo el entendido de que dicha búsqueda exhaustiva permitirá dos determinaciones:</w:t>
      </w:r>
    </w:p>
    <w:p w:rsidR="00101BED" w:rsidRPr="00101BED" w:rsidRDefault="00101BED" w:rsidP="00BF3157">
      <w:pPr>
        <w:spacing w:line="360" w:lineRule="auto"/>
        <w:ind w:left="567" w:right="616"/>
        <w:jc w:val="both"/>
        <w:rPr>
          <w:rFonts w:ascii="Palatino Linotype" w:hAnsi="Palatino Linotype" w:cs="Arial"/>
          <w:i/>
        </w:rPr>
      </w:pPr>
      <w:r w:rsidRPr="00101BED">
        <w:rPr>
          <w:rFonts w:ascii="Palatino Linotype" w:hAnsi="Palatino Linotype" w:cs="Arial"/>
          <w:i/>
        </w:rPr>
        <w:t>a) Que se localice la documentación que contenga la información solicitada y de ser así la información pueda entregarse al solicitante en la forma en que se encuentra disponible, o</w:t>
      </w:r>
    </w:p>
    <w:p w:rsidR="00101BED" w:rsidRPr="00101BED" w:rsidRDefault="00101BED" w:rsidP="00BF3157">
      <w:pPr>
        <w:spacing w:line="360" w:lineRule="auto"/>
        <w:ind w:left="567" w:right="616"/>
        <w:jc w:val="both"/>
        <w:rPr>
          <w:rFonts w:ascii="Palatino Linotype" w:hAnsi="Palatino Linotype" w:cs="Arial"/>
          <w:i/>
        </w:rPr>
      </w:pPr>
      <w:r w:rsidRPr="00101BED">
        <w:rPr>
          <w:rFonts w:ascii="Palatino Linotype" w:hAnsi="Palatino Linotype" w:cs="Arial"/>
          <w:i/>
        </w:rPr>
        <w:lastRenderedPageBreak/>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101BED" w:rsidRPr="00101BED" w:rsidRDefault="00101BED" w:rsidP="00BF3157">
      <w:pPr>
        <w:spacing w:line="360" w:lineRule="auto"/>
        <w:ind w:left="567" w:right="616"/>
        <w:jc w:val="both"/>
        <w:rPr>
          <w:rFonts w:ascii="Palatino Linotype" w:hAnsi="Palatino Linotype" w:cs="Arial"/>
          <w:i/>
        </w:rPr>
      </w:pPr>
      <w:r w:rsidRPr="00101BED">
        <w:rPr>
          <w:rFonts w:ascii="Palatino Linotype"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101BED" w:rsidRPr="00101BED" w:rsidRDefault="00101BED" w:rsidP="00BF3157">
      <w:pPr>
        <w:spacing w:line="360" w:lineRule="auto"/>
        <w:ind w:left="567" w:right="616"/>
        <w:jc w:val="both"/>
        <w:rPr>
          <w:rFonts w:ascii="Palatino Linotype" w:hAnsi="Palatino Linotype" w:cs="Arial"/>
          <w:i/>
        </w:rPr>
      </w:pPr>
      <w:r w:rsidRPr="00101BED">
        <w:rPr>
          <w:rFonts w:ascii="Palatino Linotype" w:hAnsi="Palatino Linotype" w:cs="Arial"/>
          <w:i/>
        </w:rPr>
        <w:t>(Énfasis añadido)</w:t>
      </w:r>
    </w:p>
    <w:p w:rsidR="00101BED" w:rsidRPr="00101BED" w:rsidRDefault="00101BED" w:rsidP="00BF3157">
      <w:pPr>
        <w:spacing w:line="360" w:lineRule="auto"/>
        <w:ind w:left="567"/>
        <w:jc w:val="both"/>
        <w:rPr>
          <w:rFonts w:ascii="Palatino Linotype" w:hAnsi="Palatino Linotype" w:cs="Arial"/>
        </w:rPr>
      </w:pPr>
    </w:p>
    <w:p w:rsidR="00101BED" w:rsidRPr="00101BED" w:rsidRDefault="00101BED" w:rsidP="00721242">
      <w:pPr>
        <w:numPr>
          <w:ilvl w:val="0"/>
          <w:numId w:val="1"/>
        </w:numPr>
        <w:spacing w:after="0" w:line="360" w:lineRule="auto"/>
        <w:ind w:left="0" w:firstLine="0"/>
        <w:contextualSpacing/>
        <w:jc w:val="both"/>
        <w:rPr>
          <w:rFonts w:ascii="Palatino Linotype" w:hAnsi="Palatino Linotype" w:cs="Arial"/>
          <w:sz w:val="24"/>
          <w:szCs w:val="24"/>
        </w:rPr>
      </w:pPr>
      <w:r w:rsidRPr="00101BED">
        <w:rPr>
          <w:rFonts w:ascii="Palatino Linotype" w:hAnsi="Palatino Linotype" w:cs="Arial"/>
          <w:sz w:val="24"/>
          <w:szCs w:val="24"/>
        </w:rPr>
        <w:t xml:space="preserve">Bajo éste tenor se debe destacar que para que se declare la inexistencia de la información deberá de encuadrar en dos hipótesis, la primera de ellas corresponde a que en atribuciones, competencias o funciones del Sujeto Obligado debió de haber generado, administrado o poseído la información ordenada pero por algún motivo éste no cuenta con ella, el 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w:t>
      </w:r>
      <w:r w:rsidRPr="00101BED">
        <w:rPr>
          <w:rFonts w:ascii="Palatino Linotype" w:hAnsi="Palatino Linotype" w:cs="Arial"/>
          <w:sz w:val="24"/>
          <w:szCs w:val="24"/>
        </w:rPr>
        <w:lastRenderedPageBreak/>
        <w:t>equivalente del Sujeto Obligado quien, en su caso, deberá iniciar el procedimiento de responsabilidad administrativa que corresponda en términos de la Ley de Responsabilidades Administrativas del Estado de México y Municipios.</w:t>
      </w:r>
    </w:p>
    <w:p w:rsidR="00101BED" w:rsidRPr="00101BED" w:rsidRDefault="00101BED" w:rsidP="00721242">
      <w:pPr>
        <w:keepNext/>
        <w:keepLines/>
        <w:numPr>
          <w:ilvl w:val="0"/>
          <w:numId w:val="2"/>
        </w:numPr>
        <w:spacing w:before="240" w:after="0"/>
        <w:ind w:left="0" w:firstLine="0"/>
        <w:outlineLvl w:val="0"/>
        <w:rPr>
          <w:rFonts w:ascii="Palatino Linotype" w:eastAsiaTheme="majorEastAsia" w:hAnsi="Palatino Linotype" w:cstheme="majorBidi"/>
          <w:b/>
          <w:sz w:val="24"/>
          <w:szCs w:val="32"/>
        </w:rPr>
      </w:pPr>
      <w:bookmarkStart w:id="4" w:name="_Toc269542"/>
      <w:r w:rsidRPr="00101BED">
        <w:rPr>
          <w:rFonts w:ascii="Palatino Linotype" w:eastAsiaTheme="majorEastAsia" w:hAnsi="Palatino Linotype" w:cstheme="majorBidi"/>
          <w:b/>
          <w:sz w:val="24"/>
          <w:szCs w:val="32"/>
        </w:rPr>
        <w:t>Conclusión</w:t>
      </w:r>
      <w:bookmarkEnd w:id="4"/>
    </w:p>
    <w:p w:rsidR="00101BED" w:rsidRPr="00101BED" w:rsidRDefault="00101BED" w:rsidP="00721242">
      <w:pPr>
        <w:spacing w:line="360" w:lineRule="auto"/>
        <w:contextualSpacing/>
        <w:jc w:val="both"/>
        <w:rPr>
          <w:rFonts w:ascii="Palatino Linotype" w:hAnsi="Palatino Linotype"/>
          <w:sz w:val="24"/>
          <w:szCs w:val="24"/>
        </w:rPr>
      </w:pPr>
    </w:p>
    <w:p w:rsidR="00101BED" w:rsidRDefault="00101BED" w:rsidP="00721242">
      <w:pPr>
        <w:numPr>
          <w:ilvl w:val="0"/>
          <w:numId w:val="1"/>
        </w:numPr>
        <w:spacing w:line="360" w:lineRule="auto"/>
        <w:ind w:left="0" w:firstLine="0"/>
        <w:contextualSpacing/>
        <w:jc w:val="both"/>
        <w:rPr>
          <w:rFonts w:ascii="Palatino Linotype" w:hAnsi="Palatino Linotype"/>
          <w:sz w:val="24"/>
          <w:szCs w:val="24"/>
        </w:rPr>
      </w:pPr>
      <w:r w:rsidRPr="00101BED">
        <w:rPr>
          <w:rFonts w:ascii="Palatino Linotype" w:hAnsi="Palatino Linotype"/>
          <w:sz w:val="24"/>
          <w:szCs w:val="24"/>
        </w:rPr>
        <w:t>Declarar la inexistencia de la información no solo es realizar un documento en el cual se plasme un acuerdo que refiera que la información simplemente no existe, sino que dicha declaración trae consigo una serie de circunstancias, es decir, se deberán plasmar las razones y motivos por los cuales la información que debiera existir, no obra en los archivos del Sujeto Obligado, lo que se traduce en negligencia, robo o extravío, por tal motivo es necesario dar vista a los órganos de control interno para que de ser el caso, se inicie el procedimiento de responsabilidad conducente, en contra de la persona que resulte responsable de la inexistencia de la información requerida.</w:t>
      </w:r>
    </w:p>
    <w:p w:rsidR="00BF3157" w:rsidRPr="00101BED" w:rsidRDefault="00BF3157" w:rsidP="00BF3157">
      <w:pPr>
        <w:spacing w:line="360" w:lineRule="auto"/>
        <w:contextualSpacing/>
        <w:jc w:val="both"/>
        <w:rPr>
          <w:rFonts w:ascii="Palatino Linotype" w:hAnsi="Palatino Linotype"/>
          <w:sz w:val="24"/>
          <w:szCs w:val="24"/>
        </w:rPr>
      </w:pPr>
    </w:p>
    <w:p w:rsidR="00101BED" w:rsidRPr="00101BED" w:rsidRDefault="00101BED" w:rsidP="00721242">
      <w:pPr>
        <w:spacing w:line="360" w:lineRule="auto"/>
        <w:jc w:val="both"/>
        <w:rPr>
          <w:rFonts w:ascii="Palatino Linotype" w:hAnsi="Palatino Linotype"/>
          <w:sz w:val="24"/>
          <w:szCs w:val="24"/>
        </w:rPr>
      </w:pPr>
    </w:p>
    <w:p w:rsidR="00101BED" w:rsidRPr="00101BED" w:rsidRDefault="00101BED" w:rsidP="00721242">
      <w:pPr>
        <w:spacing w:line="360" w:lineRule="auto"/>
        <w:jc w:val="center"/>
        <w:rPr>
          <w:rFonts w:ascii="Palatino Linotype" w:hAnsi="Palatino Linotype"/>
          <w:b/>
          <w:sz w:val="24"/>
          <w:szCs w:val="24"/>
        </w:rPr>
      </w:pPr>
      <w:r w:rsidRPr="00101BED">
        <w:rPr>
          <w:rFonts w:ascii="Palatino Linotype" w:hAnsi="Palatino Linotype"/>
          <w:b/>
          <w:sz w:val="24"/>
          <w:szCs w:val="24"/>
        </w:rPr>
        <w:t>JOSÉ GUADALUPE LUNA HERNANDEZ</w:t>
      </w:r>
    </w:p>
    <w:p w:rsidR="00101BED" w:rsidRDefault="00101BED" w:rsidP="00721242">
      <w:pPr>
        <w:spacing w:line="360" w:lineRule="auto"/>
        <w:jc w:val="center"/>
        <w:rPr>
          <w:rFonts w:ascii="Palatino Linotype" w:hAnsi="Palatino Linotype"/>
          <w:b/>
          <w:sz w:val="24"/>
          <w:szCs w:val="24"/>
        </w:rPr>
      </w:pPr>
      <w:r w:rsidRPr="00101BED">
        <w:rPr>
          <w:rFonts w:ascii="Palatino Linotype" w:hAnsi="Palatino Linotype"/>
          <w:b/>
          <w:sz w:val="24"/>
          <w:szCs w:val="24"/>
        </w:rPr>
        <w:t>COMISIONADO</w:t>
      </w:r>
    </w:p>
    <w:p w:rsidR="00BF3157" w:rsidRPr="00101BED" w:rsidRDefault="00BF3157" w:rsidP="00721242">
      <w:pPr>
        <w:spacing w:line="360" w:lineRule="auto"/>
        <w:jc w:val="center"/>
        <w:rPr>
          <w:rFonts w:ascii="Palatino Linotype" w:hAnsi="Palatino Linotype"/>
          <w:b/>
          <w:sz w:val="24"/>
          <w:szCs w:val="24"/>
        </w:rPr>
      </w:pPr>
      <w:r>
        <w:rPr>
          <w:rFonts w:ascii="Palatino Linotype" w:hAnsi="Palatino Linotype"/>
          <w:b/>
          <w:sz w:val="24"/>
          <w:szCs w:val="24"/>
        </w:rPr>
        <w:t>(Rúbrica)</w:t>
      </w:r>
    </w:p>
    <w:p w:rsidR="00101BED" w:rsidRPr="00101BED" w:rsidRDefault="00101BED" w:rsidP="00721242">
      <w:pPr>
        <w:tabs>
          <w:tab w:val="left" w:pos="2580"/>
        </w:tabs>
        <w:spacing w:line="360" w:lineRule="auto"/>
        <w:rPr>
          <w:rFonts w:ascii="Palatino Linotype" w:hAnsi="Palatino Linotype"/>
          <w:sz w:val="24"/>
          <w:szCs w:val="24"/>
        </w:rPr>
      </w:pPr>
      <w:r w:rsidRPr="00101BED">
        <w:rPr>
          <w:rFonts w:ascii="Palatino Linotype" w:hAnsi="Palatino Linotype"/>
          <w:b/>
          <w:sz w:val="24"/>
          <w:szCs w:val="24"/>
        </w:rPr>
        <w:t xml:space="preserve"> </w:t>
      </w:r>
      <w:r w:rsidR="00BF3157">
        <w:rPr>
          <w:rFonts w:ascii="Palatino Linotype" w:hAnsi="Palatino Linotype"/>
          <w:b/>
          <w:sz w:val="24"/>
          <w:szCs w:val="24"/>
        </w:rPr>
        <w:t>JGLH/MSA</w:t>
      </w:r>
      <w:r w:rsidRPr="00101BED">
        <w:rPr>
          <w:rFonts w:ascii="Palatino Linotype" w:hAnsi="Palatino Linotype"/>
          <w:b/>
          <w:sz w:val="24"/>
          <w:szCs w:val="24"/>
        </w:rPr>
        <w:t xml:space="preserve">.  </w:t>
      </w:r>
      <w:r>
        <w:rPr>
          <w:rFonts w:ascii="Palatino Linotype" w:hAnsi="Palatino Linotype"/>
          <w:b/>
          <w:sz w:val="24"/>
          <w:szCs w:val="24"/>
        </w:rPr>
        <w:tab/>
      </w:r>
    </w:p>
    <w:p w:rsidR="00101BED" w:rsidRDefault="00101BED" w:rsidP="00721242"/>
    <w:p w:rsidR="00101BED" w:rsidRDefault="00101BED" w:rsidP="00721242"/>
    <w:p w:rsidR="0025734D" w:rsidRPr="00101BED" w:rsidRDefault="0025734D" w:rsidP="00721242"/>
    <w:sectPr w:rsidR="0025734D" w:rsidRPr="00101BED" w:rsidSect="00AD4277">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CB6" w:rsidRDefault="00767CB6" w:rsidP="00101BED">
      <w:pPr>
        <w:spacing w:after="0" w:line="240" w:lineRule="auto"/>
      </w:pPr>
      <w:r>
        <w:separator/>
      </w:r>
    </w:p>
  </w:endnote>
  <w:endnote w:type="continuationSeparator" w:id="0">
    <w:p w:rsidR="00767CB6" w:rsidRDefault="00767CB6" w:rsidP="00101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55158"/>
      <w:docPartObj>
        <w:docPartGallery w:val="Page Numbers (Bottom of Page)"/>
        <w:docPartUnique/>
      </w:docPartObj>
    </w:sdtPr>
    <w:sdtEndPr/>
    <w:sdtContent>
      <w:sdt>
        <w:sdtPr>
          <w:id w:val="-1769616900"/>
          <w:docPartObj>
            <w:docPartGallery w:val="Page Numbers (Top of Page)"/>
            <w:docPartUnique/>
          </w:docPartObj>
        </w:sdtPr>
        <w:sdtEndPr/>
        <w:sdtContent>
          <w:p w:rsidR="00AD4277" w:rsidRDefault="008C612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8678F">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8678F">
              <w:rPr>
                <w:b/>
                <w:bCs/>
                <w:noProof/>
              </w:rPr>
              <w:t>18</w:t>
            </w:r>
            <w:r>
              <w:rPr>
                <w:b/>
                <w:bCs/>
                <w:sz w:val="24"/>
                <w:szCs w:val="24"/>
              </w:rPr>
              <w:fldChar w:fldCharType="end"/>
            </w:r>
          </w:p>
        </w:sdtContent>
      </w:sdt>
    </w:sdtContent>
  </w:sdt>
  <w:p w:rsidR="00CD5D3B" w:rsidRDefault="00767C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CB6" w:rsidRDefault="00767CB6" w:rsidP="00101BED">
      <w:pPr>
        <w:spacing w:after="0" w:line="240" w:lineRule="auto"/>
      </w:pPr>
      <w:r>
        <w:separator/>
      </w:r>
    </w:p>
  </w:footnote>
  <w:footnote w:type="continuationSeparator" w:id="0">
    <w:p w:rsidR="00767CB6" w:rsidRDefault="00767CB6" w:rsidP="00101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821641"/>
      <w:docPartObj>
        <w:docPartGallery w:val="Watermarks"/>
        <w:docPartUnique/>
      </w:docPartObj>
    </w:sdtPr>
    <w:sdtEndPr/>
    <w:sdtContent>
      <w:p w:rsidR="00CD5D3B" w:rsidRDefault="00767CB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568767" o:spid="_x0000_s2056" type="#_x0000_t136" style="position:absolute;margin-left:0;margin-top:0;width:567.95pt;height:104.65pt;rotation:315;z-index:-251658240;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101BED">
    <w:pPr>
      <w:pStyle w:val="Encabezado"/>
    </w:pPr>
    <w:r>
      <w:rPr>
        <w:noProof/>
        <w:lang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078980" cy="832485"/>
              <wp:effectExtent l="0" t="2247900" r="0" b="21107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78980" cy="8324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01BED" w:rsidRDefault="00101BED" w:rsidP="00101BED">
                          <w:pPr>
                            <w:pStyle w:val="NormalWeb"/>
                            <w:spacing w:before="0" w:beforeAutospacing="0" w:after="0" w:afterAutospacing="0"/>
                            <w:jc w:val="center"/>
                          </w:pPr>
                          <w:r>
                            <w:rPr>
                              <w:rFonts w:ascii="Arial" w:hAnsi="Arial" w:cs="Arial"/>
                              <w:color w:val="767171" w:themeColor="background2" w:themeShade="80"/>
                              <w:sz w:val="2"/>
                              <w:szCs w:val="2"/>
                              <w14:textFill>
                                <w14:solidFill>
                                  <w14:schemeClr w14:val="bg2">
                                    <w14:alpha w14:val="50000"/>
                                    <w14:lumMod w14:val="50000"/>
                                  </w14:schemeClr>
                                </w14:solidFill>
                              </w14:textFill>
                            </w:rPr>
                            <w:t>VOTO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0;width:557.4pt;height:65.5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" o:allowincell="f" filled="f" stroked="f">
              <v:stroke joinstyle="round"/>
              <o:lock v:ext="edit" shapetype="t"/>
              <v:textbox style="mso-fit-shape-to-text:t">
                <w:txbxContent>
                  <w:p w:rsidR="00101BED" w:rsidRDefault="00101BED" w:rsidP="00101BED">
                    <w:pPr>
                      <w:pStyle w:val="NormalWeb"/>
                      <w:spacing w:before="0" w:beforeAutospacing="0" w:after="0" w:afterAutospacing="0"/>
                      <w:jc w:val="center"/>
                    </w:pPr>
                    <w:r>
                      <w:rPr>
                        <w:rFonts w:ascii="Arial" w:hAnsi="Arial" w:cs="Arial"/>
                        <w:color w:val="767171" w:themeColor="background2" w:themeShade="80"/>
                        <w:sz w:val="2"/>
                        <w:szCs w:val="2"/>
                        <w14:textFill>
                          <w14:solidFill>
                            <w14:schemeClr w14:val="bg2">
                              <w14:alpha w14:val="50000"/>
                              <w14:lumMod w14:val="50000"/>
                            </w14:schemeClr>
                          </w14:solidFill>
                        </w14:textFill>
                      </w:rPr>
                      <w:t>VOTO PARTICULAR</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E4204"/>
    <w:multiLevelType w:val="hybridMultilevel"/>
    <w:tmpl w:val="7842EC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672A3C54"/>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75667D7"/>
    <w:multiLevelType w:val="hybridMultilevel"/>
    <w:tmpl w:val="F072FF3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4E346C9F"/>
    <w:multiLevelType w:val="hybridMultilevel"/>
    <w:tmpl w:val="54F48676"/>
    <w:lvl w:ilvl="0" w:tplc="E3C6B228">
      <w:start w:val="1"/>
      <w:numFmt w:val="decimal"/>
      <w:lvlText w:val="%1."/>
      <w:lvlJc w:val="left"/>
      <w:pPr>
        <w:ind w:left="360" w:hanging="360"/>
      </w:pPr>
      <w:rPr>
        <w:rFonts w:hint="default"/>
        <w:b/>
        <w:i w:val="0"/>
        <w:sz w:val="22"/>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ED"/>
    <w:rsid w:val="00101BED"/>
    <w:rsid w:val="0025734D"/>
    <w:rsid w:val="002D1222"/>
    <w:rsid w:val="0048678F"/>
    <w:rsid w:val="0052371E"/>
    <w:rsid w:val="006E4312"/>
    <w:rsid w:val="00721242"/>
    <w:rsid w:val="00731E75"/>
    <w:rsid w:val="00767CB6"/>
    <w:rsid w:val="007B6C87"/>
    <w:rsid w:val="008C612A"/>
    <w:rsid w:val="009A7816"/>
    <w:rsid w:val="009C7B58"/>
    <w:rsid w:val="00BA79EA"/>
    <w:rsid w:val="00BF3157"/>
    <w:rsid w:val="00C66D51"/>
    <w:rsid w:val="00DC2FBB"/>
    <w:rsid w:val="00ED53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chartTrackingRefBased/>
  <w15:docId w15:val="{9557D7E2-1BC4-4C10-A637-4488681F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01B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1BED"/>
  </w:style>
  <w:style w:type="paragraph" w:styleId="Encabezado">
    <w:name w:val="header"/>
    <w:basedOn w:val="Normal"/>
    <w:link w:val="EncabezadoCar"/>
    <w:uiPriority w:val="99"/>
    <w:unhideWhenUsed/>
    <w:rsid w:val="00101B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1BED"/>
  </w:style>
  <w:style w:type="paragraph" w:styleId="NormalWeb">
    <w:name w:val="Normal (Web)"/>
    <w:basedOn w:val="Normal"/>
    <w:uiPriority w:val="99"/>
    <w:semiHidden/>
    <w:unhideWhenUsed/>
    <w:rsid w:val="00101BED"/>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basedOn w:val="Normal"/>
    <w:uiPriority w:val="34"/>
    <w:qFormat/>
    <w:rsid w:val="006E4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4E07D-CEE0-4450-8913-F92DFF31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3132</Words>
  <Characters>17231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2</cp:revision>
  <dcterms:created xsi:type="dcterms:W3CDTF">2019-02-26T23:59:00Z</dcterms:created>
  <dcterms:modified xsi:type="dcterms:W3CDTF">2019-02-26T23:59:00Z</dcterms:modified>
</cp:coreProperties>
</file>